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5E9706D7" w:rsidR="0074405B" w:rsidRPr="003E6C3D" w:rsidRDefault="0074405B" w:rsidP="0074405B">
      <w:pPr>
        <w:pStyle w:val="3GPPHeader"/>
        <w:spacing w:after="60"/>
        <w:rPr>
          <w:sz w:val="32"/>
          <w:szCs w:val="32"/>
          <w:highlight w:val="yellow"/>
          <w:lang w:val="en-US"/>
        </w:rPr>
      </w:pPr>
      <w:r w:rsidRPr="003E6C3D">
        <w:rPr>
          <w:lang w:val="en-US"/>
        </w:rPr>
        <w:t>3GPP TSG-RAN WG2 #9</w:t>
      </w:r>
      <w:r w:rsidR="00A778C3" w:rsidRPr="003E6C3D">
        <w:rPr>
          <w:lang w:val="en-US"/>
        </w:rPr>
        <w:t>9</w:t>
      </w:r>
      <w:r w:rsidR="00902C3B">
        <w:rPr>
          <w:lang w:val="en-US"/>
        </w:rPr>
        <w:t>bis</w:t>
      </w:r>
      <w:r w:rsidRPr="003E6C3D">
        <w:rPr>
          <w:lang w:val="en-US"/>
        </w:rPr>
        <w:tab/>
      </w:r>
      <w:r w:rsidR="007C03D1" w:rsidRPr="007C03D1">
        <w:rPr>
          <w:sz w:val="32"/>
          <w:szCs w:val="32"/>
        </w:rPr>
        <w:t>R2-1710519</w:t>
      </w:r>
    </w:p>
    <w:p w14:paraId="1775FC52" w14:textId="77777777" w:rsidR="00902C3B" w:rsidRDefault="00902C3B" w:rsidP="00902C3B">
      <w:pPr>
        <w:pStyle w:val="CRCoverPage"/>
        <w:outlineLvl w:val="0"/>
        <w:rPr>
          <w:b/>
          <w:noProof/>
          <w:sz w:val="24"/>
        </w:rPr>
      </w:pPr>
      <w:r>
        <w:rPr>
          <w:b/>
          <w:noProof/>
          <w:sz w:val="24"/>
        </w:rPr>
        <w:t>Prague, Czech Republic,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2017</w:t>
      </w:r>
    </w:p>
    <w:p w14:paraId="7B0CA990" w14:textId="77777777" w:rsidR="00923005" w:rsidRPr="00CE0424" w:rsidRDefault="00923005" w:rsidP="00357380">
      <w:pPr>
        <w:pStyle w:val="3GPPHeader"/>
      </w:pPr>
    </w:p>
    <w:p w14:paraId="4A4F422A" w14:textId="4A723663" w:rsidR="00E90E49" w:rsidRPr="007959BF" w:rsidRDefault="00E90E49" w:rsidP="00311702">
      <w:pPr>
        <w:pStyle w:val="3GPPHeader"/>
        <w:rPr>
          <w:sz w:val="22"/>
          <w:szCs w:val="22"/>
          <w:lang w:val="en-US"/>
        </w:rPr>
      </w:pPr>
      <w:r w:rsidRPr="007959BF">
        <w:rPr>
          <w:sz w:val="22"/>
          <w:szCs w:val="22"/>
          <w:lang w:val="en-US"/>
        </w:rPr>
        <w:t>Agenda Item:</w:t>
      </w:r>
      <w:r w:rsidRPr="007959BF">
        <w:rPr>
          <w:sz w:val="22"/>
          <w:szCs w:val="22"/>
          <w:lang w:val="en-US"/>
        </w:rPr>
        <w:tab/>
      </w:r>
      <w:r w:rsidR="004970AD" w:rsidRPr="001C6011">
        <w:rPr>
          <w:sz w:val="22"/>
          <w:szCs w:val="22"/>
          <w:lang w:val="en-US"/>
        </w:rPr>
        <w:t>9.14.</w:t>
      </w:r>
      <w:r w:rsidR="006833BE" w:rsidRPr="001C6011">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A3A8B23" w:rsidR="00E90E49" w:rsidRPr="00CE0424" w:rsidRDefault="003D3C45" w:rsidP="00311702">
      <w:pPr>
        <w:pStyle w:val="3GPPHeader"/>
        <w:rPr>
          <w:sz w:val="22"/>
          <w:szCs w:val="22"/>
        </w:rPr>
      </w:pPr>
      <w:r>
        <w:rPr>
          <w:sz w:val="22"/>
          <w:szCs w:val="22"/>
        </w:rPr>
        <w:t>Title:</w:t>
      </w:r>
      <w:r w:rsidR="00E90E49" w:rsidRPr="00CE0424">
        <w:rPr>
          <w:sz w:val="22"/>
          <w:szCs w:val="22"/>
        </w:rPr>
        <w:tab/>
      </w:r>
      <w:r w:rsidR="006833BE" w:rsidRPr="006833BE">
        <w:rPr>
          <w:sz w:val="22"/>
          <w:szCs w:val="22"/>
        </w:rPr>
        <w:t>Skipping SIB1-BR acquisition</w:t>
      </w:r>
    </w:p>
    <w:p w14:paraId="036C9EA2" w14:textId="75269709" w:rsidR="00902C3B" w:rsidRDefault="00E90E49" w:rsidP="001C6011">
      <w:pPr>
        <w:pStyle w:val="3GPPHeader"/>
        <w:rPr>
          <w:bCs/>
        </w:rPr>
      </w:pPr>
      <w:r w:rsidRPr="00CE0424">
        <w:rPr>
          <w:sz w:val="22"/>
          <w:szCs w:val="22"/>
        </w:rPr>
        <w:t>Document for:</w:t>
      </w:r>
      <w:r w:rsidRPr="00CE0424">
        <w:rPr>
          <w:sz w:val="22"/>
          <w:szCs w:val="22"/>
        </w:rPr>
        <w:tab/>
      </w:r>
      <w:r w:rsidRPr="00A778C3">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83EEE73" w14:textId="63267BEE" w:rsidR="006833BE" w:rsidRDefault="006833BE" w:rsidP="006833BE">
      <w:r w:rsidRPr="00901AE5">
        <w:rPr>
          <w:lang w:eastAsia="en-US"/>
        </w:rPr>
        <w:t>In RAN2#99</w:t>
      </w:r>
      <w:r>
        <w:rPr>
          <w:lang w:eastAsia="en-US"/>
        </w:rPr>
        <w:t xml:space="preserve">, </w:t>
      </w:r>
      <w:r>
        <w:t>regarding reduced system acquisition time for efeMTC</w:t>
      </w:r>
      <w:r w:rsidRPr="006833BE">
        <w:rPr>
          <w:lang w:eastAsia="en-US"/>
        </w:rPr>
        <w:t xml:space="preserve"> </w:t>
      </w:r>
      <w:r>
        <w:rPr>
          <w:lang w:eastAsia="en-US"/>
        </w:rPr>
        <w:t>it was agreed</w:t>
      </w:r>
      <w:r>
        <w:t xml:space="preserve"> that there will be an email discussion on skipping SIB1-BR reading:</w:t>
      </w:r>
    </w:p>
    <w:p w14:paraId="514EA517" w14:textId="77777777" w:rsidR="006833BE" w:rsidRDefault="006833BE" w:rsidP="006833BE">
      <w:pPr>
        <w:pStyle w:val="Doc-text2"/>
      </w:pPr>
    </w:p>
    <w:p w14:paraId="51205219" w14:textId="77777777" w:rsidR="006833BE" w:rsidRDefault="006833BE" w:rsidP="006833BE">
      <w:pPr>
        <w:pStyle w:val="EmailDiscussion"/>
      </w:pPr>
      <w:r>
        <w:t>Email discussion on identifying the use cases for skipping SIB1-BR [Sierra Wireless]</w:t>
      </w:r>
    </w:p>
    <w:p w14:paraId="5FFA74C1" w14:textId="77777777" w:rsidR="006833BE" w:rsidRPr="00901AE5" w:rsidRDefault="006833BE" w:rsidP="006833BE">
      <w:pPr>
        <w:rPr>
          <w:lang w:eastAsia="en-US"/>
        </w:rPr>
      </w:pPr>
    </w:p>
    <w:p w14:paraId="77CAB14D" w14:textId="45F1023C" w:rsidR="00E54AD9" w:rsidRPr="005B2DFC" w:rsidRDefault="006833BE" w:rsidP="00CE0424">
      <w:pPr>
        <w:pStyle w:val="BodyText"/>
        <w:rPr>
          <w:lang w:val="en-US"/>
        </w:rPr>
      </w:pPr>
      <w:r>
        <w:t>The report for the email discussion can be found in [1]. In this paper, we discuss and describe the use cases and provide solutions for avoiding reading SIB1-BR to improve the SI acquisition time performance of efeMTC UEs.</w:t>
      </w:r>
    </w:p>
    <w:p w14:paraId="79393683" w14:textId="23036732" w:rsidR="00A62691" w:rsidRDefault="004000E8" w:rsidP="00A62691">
      <w:pPr>
        <w:pStyle w:val="Heading1"/>
      </w:pPr>
      <w:bookmarkStart w:id="0" w:name="_Ref178064866"/>
      <w:r w:rsidRPr="00CE0424">
        <w:t>Discussion</w:t>
      </w:r>
      <w:bookmarkStart w:id="1" w:name="_GoBack"/>
      <w:bookmarkEnd w:id="0"/>
      <w:bookmarkEnd w:id="1"/>
    </w:p>
    <w:p w14:paraId="39382012" w14:textId="1F27D608" w:rsidR="00F969F2" w:rsidRPr="00F969F2" w:rsidRDefault="00F969F2" w:rsidP="00F969F2">
      <w:r>
        <w:t xml:space="preserve">For skipping SIB1-BR </w:t>
      </w:r>
      <w:r w:rsidR="00614840">
        <w:t>acquisition</w:t>
      </w:r>
      <w:r>
        <w:t>, we see two reasonable scenarios.</w:t>
      </w:r>
    </w:p>
    <w:p w14:paraId="3C645FED" w14:textId="5141A043" w:rsidR="00F969F2" w:rsidRDefault="00F969F2" w:rsidP="00F969F2">
      <w:pPr>
        <w:pStyle w:val="Heading2"/>
      </w:pPr>
      <w:r>
        <w:t>Indication of system value tag change</w:t>
      </w:r>
    </w:p>
    <w:p w14:paraId="4528337B" w14:textId="7D9ACBE6" w:rsidR="00F969F2" w:rsidRDefault="00F969F2" w:rsidP="00F969F2">
      <w:r>
        <w:t xml:space="preserve">The first scenario we think would be short eDRX for DL reachability: </w:t>
      </w:r>
      <w:r w:rsidR="00480851">
        <w:t>When the eDRX cycle is short, but still longer than the modification period such that MIB and SIB1-BR has the be read</w:t>
      </w:r>
      <w:r w:rsidR="00480851" w:rsidDel="00480851">
        <w:t xml:space="preserve"> </w:t>
      </w:r>
      <w:r>
        <w:t>to see if a SI change has happened while it was asleep. An example use case is actuators etc. where the DRX cycle is configured quite short, but longer than modification period, and the UE wakes up to monitor paging/downlink transmissions, but not transmitting in uplink.</w:t>
      </w:r>
    </w:p>
    <w:p w14:paraId="7A0B8AAE" w14:textId="3F3D806E" w:rsidR="004F4527" w:rsidRDefault="004F4527" w:rsidP="00F969F2">
      <w:r>
        <w:t xml:space="preserve">Another similar case is waking up from PSM, </w:t>
      </w:r>
      <w:r w:rsidR="00480851">
        <w:t>since UE in PSM is not monitoring paging and therefore cannot monitor POs for SI update</w:t>
      </w:r>
      <w:r>
        <w:t xml:space="preserve">. Usually though PSM cycles are relatively long, which results in power saving gains, due to having to acquire SIB1-BR more rarely, but there is no drawback to </w:t>
      </w:r>
      <w:r w:rsidR="002B7C0A">
        <w:t xml:space="preserve">have </w:t>
      </w:r>
      <w:r>
        <w:t>the indication in MIB and there would be some gains nevertheless.</w:t>
      </w:r>
    </w:p>
    <w:p w14:paraId="459A1D8C" w14:textId="77777777" w:rsidR="00C41E1E" w:rsidRDefault="00C41E1E" w:rsidP="00C41E1E">
      <w:r>
        <w:t>A valueTag-flag in MIB seems to be the best candidate solution in this use case:</w:t>
      </w:r>
    </w:p>
    <w:p w14:paraId="446C5F32" w14:textId="77777777" w:rsidR="00C41E1E" w:rsidRDefault="00C41E1E" w:rsidP="00C41E1E">
      <w:r>
        <w:t>For UEs to be able to omit reading SIB1-BR just to ensure SI has not changed, an indication could be added to MIB, using one or more of the spare bits. This would not be a full system value tag, which would require using multiple spare bits in MIB. We prefer an indication of 1 or 2 bits, which would indicate whether the system value tag in SIB1-BR has changed within an observation period. The observation period could be predetermined, such as HSFN cycle, or configurable in SI. With 2 bit indication, multiple changes over 3 observation periods (1 value reserved for no change within the observation period) may be indicated and the UE may avoid reading SIB1-BR for a longer period of time. We see no need to replicate the valueTag in SIB1-BR and would rather make use of the fact that SI changes very rarely in practice and only use 1-2 bits in combination with a very long observation period.</w:t>
      </w:r>
    </w:p>
    <w:p w14:paraId="0C8CEB1E" w14:textId="77777777" w:rsidR="00C41E1E" w:rsidRDefault="00C41E1E" w:rsidP="00C41E1E">
      <w:pPr>
        <w:rPr>
          <w:bCs/>
          <w:noProof/>
          <w:lang w:eastAsia="en-GB"/>
        </w:rPr>
      </w:pPr>
      <w:r>
        <w:fldChar w:fldCharType="begin"/>
      </w:r>
      <w:r>
        <w:instrText xml:space="preserve"> REF _Ref493666475 \h  \* MERGEFORMAT </w:instrText>
      </w:r>
      <w:r>
        <w:fldChar w:fldCharType="separate"/>
      </w:r>
      <w:r>
        <w:t xml:space="preserve">Figure </w:t>
      </w:r>
      <w:r>
        <w:rPr>
          <w:noProof/>
        </w:rPr>
        <w:t>1</w:t>
      </w:r>
      <w:r>
        <w:fldChar w:fldCharType="end"/>
      </w:r>
      <w:r>
        <w:t xml:space="preserve"> shows the UE acquisition behaviour without such indication in case 1) and with the indication in case 2). In case 1) always when the UE wakes up during eDRX cycle, it needs to acquire MIB and SIB1-BR to see if SI has changed. When some SI message has been modified, it is shown in the </w:t>
      </w:r>
      <w:r w:rsidRPr="0058302D">
        <w:rPr>
          <w:bCs/>
          <w:i/>
          <w:noProof/>
          <w:lang w:eastAsia="en-GB"/>
        </w:rPr>
        <w:t>systemInfoValueTag</w:t>
      </w:r>
      <w:r>
        <w:rPr>
          <w:b/>
          <w:bCs/>
          <w:noProof/>
          <w:lang w:eastAsia="en-GB"/>
        </w:rPr>
        <w:t xml:space="preserve"> </w:t>
      </w:r>
      <w:r>
        <w:rPr>
          <w:bCs/>
          <w:noProof/>
          <w:lang w:eastAsia="en-GB"/>
        </w:rPr>
        <w:lastRenderedPageBreak/>
        <w:t>in the SIB1-BR, and</w:t>
      </w:r>
      <w:r>
        <w:t xml:space="preserve"> the UE also acquires the modified SI message. In case 2) when waking up during eDRX cycle, the UE checks MIB and sees from the indication whether </w:t>
      </w:r>
      <w:r w:rsidRPr="0058302D">
        <w:rPr>
          <w:bCs/>
          <w:i/>
          <w:noProof/>
          <w:lang w:eastAsia="en-GB"/>
        </w:rPr>
        <w:t>systemInfoValueTag</w:t>
      </w:r>
      <w:r>
        <w:rPr>
          <w:bCs/>
          <w:noProof/>
          <w:lang w:eastAsia="en-GB"/>
        </w:rPr>
        <w:t xml:space="preserve"> has changed. When the indication shows no change, UE do not need to acquire anything else. When change is indicated, the UE acquires SIB1-BR to read </w:t>
      </w:r>
      <w:r w:rsidRPr="0058302D">
        <w:rPr>
          <w:bCs/>
          <w:i/>
          <w:noProof/>
          <w:lang w:eastAsia="en-GB"/>
        </w:rPr>
        <w:t>systemInfoValueTag</w:t>
      </w:r>
      <w:r>
        <w:rPr>
          <w:bCs/>
          <w:noProof/>
          <w:lang w:eastAsia="en-GB"/>
        </w:rPr>
        <w:t xml:space="preserve"> and sees which SI message has been changed and acquires the corresponding SI message.</w:t>
      </w:r>
    </w:p>
    <w:p w14:paraId="6BCF8AB8" w14:textId="33494A34" w:rsidR="00F969F2" w:rsidRDefault="00F969F2" w:rsidP="00F969F2"/>
    <w:p w14:paraId="66845138" w14:textId="6EE1F608" w:rsidR="00C27CB7" w:rsidRDefault="0082679A" w:rsidP="00C27CB7">
      <w:pPr>
        <w:keepNext/>
      </w:pPr>
      <w:r>
        <w:rPr>
          <w:noProof/>
          <w:lang w:val="en-US" w:eastAsia="en-US"/>
        </w:rPr>
        <w:drawing>
          <wp:inline distT="0" distB="0" distL="0" distR="0" wp14:anchorId="733E0855" wp14:editId="694B6923">
            <wp:extent cx="6000333" cy="40386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1701" cy="4052982"/>
                    </a:xfrm>
                    <a:prstGeom prst="rect">
                      <a:avLst/>
                    </a:prstGeom>
                    <a:noFill/>
                  </pic:spPr>
                </pic:pic>
              </a:graphicData>
            </a:graphic>
          </wp:inline>
        </w:drawing>
      </w:r>
    </w:p>
    <w:p w14:paraId="1DB07473" w14:textId="657A6A61" w:rsidR="005733CE" w:rsidRDefault="00C27CB7" w:rsidP="00C27CB7">
      <w:pPr>
        <w:pStyle w:val="Caption"/>
        <w:jc w:val="both"/>
      </w:pPr>
      <w:bookmarkStart w:id="2" w:name="_Ref493666475"/>
      <w:r>
        <w:t xml:space="preserve">Figure </w:t>
      </w:r>
      <w:r>
        <w:fldChar w:fldCharType="begin"/>
      </w:r>
      <w:r>
        <w:instrText xml:space="preserve"> SEQ Figure \* ARABIC </w:instrText>
      </w:r>
      <w:r>
        <w:fldChar w:fldCharType="separate"/>
      </w:r>
      <w:r w:rsidR="004F4527">
        <w:rPr>
          <w:noProof/>
        </w:rPr>
        <w:t>1</w:t>
      </w:r>
      <w:r>
        <w:fldChar w:fldCharType="end"/>
      </w:r>
      <w:bookmarkEnd w:id="2"/>
      <w:r>
        <w:t>: Legacy SIB1-BR acquisition and SIB1-BR acquisition with 1 bit indicator in MIB</w:t>
      </w:r>
    </w:p>
    <w:p w14:paraId="72E26509" w14:textId="77777777" w:rsidR="00C41E1E" w:rsidRDefault="00C41E1E" w:rsidP="00C41E1E">
      <w:pPr>
        <w:rPr>
          <w:bCs/>
          <w:noProof/>
          <w:lang w:eastAsia="en-GB"/>
        </w:rPr>
      </w:pPr>
      <w:r>
        <w:rPr>
          <w:bCs/>
          <w:noProof/>
          <w:lang w:eastAsia="en-GB"/>
        </w:rPr>
        <w:fldChar w:fldCharType="begin"/>
      </w:r>
      <w:r>
        <w:rPr>
          <w:bCs/>
          <w:noProof/>
          <w:lang w:eastAsia="en-GB"/>
        </w:rPr>
        <w:instrText xml:space="preserve"> REF _Ref493667827 \h </w:instrText>
      </w:r>
      <w:r>
        <w:rPr>
          <w:bCs/>
          <w:noProof/>
          <w:lang w:eastAsia="en-GB"/>
        </w:rPr>
      </w:r>
      <w:r>
        <w:rPr>
          <w:bCs/>
          <w:noProof/>
          <w:lang w:eastAsia="en-GB"/>
        </w:rPr>
        <w:fldChar w:fldCharType="separate"/>
      </w:r>
      <w:r>
        <w:t xml:space="preserve">Figure </w:t>
      </w:r>
      <w:r>
        <w:rPr>
          <w:noProof/>
        </w:rPr>
        <w:t>2</w:t>
      </w:r>
      <w:r>
        <w:rPr>
          <w:bCs/>
          <w:noProof/>
          <w:lang w:eastAsia="en-GB"/>
        </w:rPr>
        <w:fldChar w:fldCharType="end"/>
      </w:r>
      <w:r>
        <w:rPr>
          <w:bCs/>
          <w:noProof/>
          <w:lang w:eastAsia="en-GB"/>
        </w:rPr>
        <w:t xml:space="preserve"> shows the UE acquisition behaviour with the indication length of 1 bit in case 3) and 2 bits in case 4). With 1 bit indicator in case 3), the UE needs to acquires MIB, SIB1-BR and the modified SI message(s) always when the indicator in MIB indicates change in the </w:t>
      </w:r>
      <w:r w:rsidRPr="0058302D">
        <w:rPr>
          <w:bCs/>
          <w:i/>
          <w:noProof/>
          <w:lang w:eastAsia="en-GB"/>
        </w:rPr>
        <w:t>systemInfoValueTag</w:t>
      </w:r>
      <w:r>
        <w:rPr>
          <w:bCs/>
          <w:noProof/>
          <w:lang w:eastAsia="en-GB"/>
        </w:rPr>
        <w:t>. In case 4), the indicator in MIB shows multiple stages of SI modification, therefore the UE does not need to acquire SIB1-BR and SI messages every time SI is modified, but only after every 3</w:t>
      </w:r>
      <w:r w:rsidRPr="008E6575">
        <w:rPr>
          <w:bCs/>
          <w:noProof/>
          <w:vertAlign w:val="superscript"/>
          <w:lang w:eastAsia="en-GB"/>
        </w:rPr>
        <w:t>rd</w:t>
      </w:r>
      <w:r>
        <w:rPr>
          <w:bCs/>
          <w:noProof/>
          <w:lang w:eastAsia="en-GB"/>
        </w:rPr>
        <w:t xml:space="preserve"> modification before the indication is wrapped around. This approach also allows 3 times longer eDRX cycles than with just 1 bit indication.</w:t>
      </w:r>
    </w:p>
    <w:p w14:paraId="5CB44436" w14:textId="77777777" w:rsidR="00C41E1E" w:rsidRDefault="00C41E1E" w:rsidP="00C27CB7">
      <w:pPr>
        <w:keepNext/>
      </w:pPr>
    </w:p>
    <w:p w14:paraId="0B4A8279" w14:textId="2F5E9740" w:rsidR="00C27CB7" w:rsidRDefault="00C41E1E" w:rsidP="00C27CB7">
      <w:pPr>
        <w:keepNext/>
      </w:pPr>
      <w:r>
        <w:rPr>
          <w:noProof/>
          <w:lang w:val="en-US" w:eastAsia="en-US"/>
        </w:rPr>
        <w:drawing>
          <wp:inline distT="0" distB="0" distL="0" distR="0" wp14:anchorId="31CC0CEB" wp14:editId="1942D15A">
            <wp:extent cx="6752530" cy="469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3735" cy="4703617"/>
                    </a:xfrm>
                    <a:prstGeom prst="rect">
                      <a:avLst/>
                    </a:prstGeom>
                    <a:noFill/>
                  </pic:spPr>
                </pic:pic>
              </a:graphicData>
            </a:graphic>
          </wp:inline>
        </w:drawing>
      </w:r>
    </w:p>
    <w:p w14:paraId="766E934E" w14:textId="6B6A577A" w:rsidR="005733CE" w:rsidRDefault="00C27CB7" w:rsidP="00C27CB7">
      <w:pPr>
        <w:pStyle w:val="Caption"/>
        <w:jc w:val="both"/>
      </w:pPr>
      <w:bookmarkStart w:id="3" w:name="_Ref493667827"/>
      <w:bookmarkStart w:id="4" w:name="_Ref493667821"/>
      <w:r>
        <w:t xml:space="preserve">Figure </w:t>
      </w:r>
      <w:r>
        <w:fldChar w:fldCharType="begin"/>
      </w:r>
      <w:r>
        <w:instrText xml:space="preserve"> SEQ Figure \* ARABIC </w:instrText>
      </w:r>
      <w:r>
        <w:fldChar w:fldCharType="separate"/>
      </w:r>
      <w:r w:rsidR="004F4527">
        <w:rPr>
          <w:noProof/>
        </w:rPr>
        <w:t>2</w:t>
      </w:r>
      <w:r>
        <w:fldChar w:fldCharType="end"/>
      </w:r>
      <w:bookmarkEnd w:id="3"/>
      <w:r>
        <w:t>: SIB1-BR acquisition with 1 bit indicator in MIB and with 2 bit indicator in MIB</w:t>
      </w:r>
      <w:bookmarkEnd w:id="4"/>
    </w:p>
    <w:p w14:paraId="387E6F3F" w14:textId="04B57D61" w:rsidR="00BF2CA3" w:rsidRDefault="00BF2CA3" w:rsidP="0082679A">
      <w:pPr>
        <w:rPr>
          <w:bCs/>
          <w:noProof/>
          <w:lang w:eastAsia="en-GB"/>
        </w:rPr>
      </w:pPr>
      <w:r>
        <w:rPr>
          <w:bCs/>
          <w:noProof/>
          <w:lang w:eastAsia="en-GB"/>
        </w:rPr>
        <w:t>Having 2 bits for the indication therefore allows longer period for the UE to stay asleep, but similar behavior can be achieved by extending the observation period of the MIB indication. System value tag indication of 2 bits makes it behave almost as an extension for the system value tag, which is not the purpose, but rather to indicate that recently the system value tag has changed. For that purpose 1 bit for the indication in MIB is enough, also due to the limited amount of bits available. Therefore we propose the following</w:t>
      </w:r>
      <w:r w:rsidR="00873CC5">
        <w:rPr>
          <w:bCs/>
          <w:noProof/>
          <w:lang w:eastAsia="en-GB"/>
        </w:rPr>
        <w:t>:</w:t>
      </w:r>
    </w:p>
    <w:p w14:paraId="4197A663" w14:textId="77777777" w:rsidR="00057CE2" w:rsidRDefault="00057CE2" w:rsidP="0082679A">
      <w:pPr>
        <w:rPr>
          <w:bCs/>
          <w:noProof/>
          <w:lang w:eastAsia="en-GB"/>
        </w:rPr>
      </w:pPr>
    </w:p>
    <w:p w14:paraId="2C5DAAED" w14:textId="36291AA7" w:rsidR="0029075E" w:rsidRDefault="0029075E" w:rsidP="0082679A">
      <w:pPr>
        <w:pStyle w:val="Proposal"/>
        <w:tabs>
          <w:tab w:val="clear" w:pos="4706"/>
        </w:tabs>
        <w:ind w:left="1701" w:hanging="1701"/>
        <w:rPr>
          <w:rFonts w:eastAsia="MS Mincho"/>
          <w:lang w:eastAsia="ja-JP"/>
        </w:rPr>
      </w:pPr>
      <w:bookmarkStart w:id="5" w:name="_Toc486937828"/>
      <w:bookmarkStart w:id="6" w:name="_Toc487122625"/>
      <w:bookmarkStart w:id="7" w:name="_Toc487202773"/>
      <w:bookmarkStart w:id="8" w:name="_Toc487203731"/>
      <w:bookmarkStart w:id="9" w:name="_Toc490212211"/>
      <w:bookmarkStart w:id="10" w:name="_Toc490229940"/>
      <w:bookmarkStart w:id="11" w:name="_Toc490229946"/>
      <w:bookmarkStart w:id="12" w:name="_Toc490230540"/>
      <w:bookmarkStart w:id="13" w:name="_Toc490267894"/>
      <w:bookmarkStart w:id="14" w:name="_Toc493675074"/>
      <w:bookmarkStart w:id="15" w:name="_Toc494399641"/>
      <w:bookmarkStart w:id="16" w:name="_Toc494417754"/>
      <w:bookmarkStart w:id="17" w:name="_Toc494421848"/>
      <w:r>
        <w:rPr>
          <w:rFonts w:eastAsia="MS Mincho"/>
          <w:lang w:eastAsia="ja-JP"/>
        </w:rPr>
        <w:t>Add</w:t>
      </w:r>
      <w:r w:rsidR="000D1659">
        <w:rPr>
          <w:rFonts w:eastAsia="MS Mincho"/>
          <w:lang w:eastAsia="ja-JP"/>
        </w:rPr>
        <w:t xml:space="preserve"> 1 bit </w:t>
      </w:r>
      <w:r w:rsidR="00873CC5">
        <w:rPr>
          <w:rFonts w:eastAsia="MS Mincho"/>
          <w:lang w:eastAsia="ja-JP"/>
        </w:rPr>
        <w:t>indicator</w:t>
      </w:r>
      <w:r>
        <w:rPr>
          <w:rFonts w:eastAsia="MS Mincho"/>
          <w:lang w:eastAsia="ja-JP"/>
        </w:rPr>
        <w:t xml:space="preserve"> to MIB to indicate whether </w:t>
      </w:r>
      <w:r w:rsidRPr="0029075E">
        <w:rPr>
          <w:bCs w:val="0"/>
          <w:i/>
          <w:noProof/>
          <w:lang w:eastAsia="en-GB"/>
        </w:rPr>
        <w:t>systemInfoValueTag</w:t>
      </w:r>
      <w:r>
        <w:rPr>
          <w:rFonts w:eastAsia="MS Mincho"/>
          <w:lang w:eastAsia="ja-JP"/>
        </w:rPr>
        <w:t xml:space="preserve"> in SIB1-BR has changed since the end of previous observation period of the indicator.</w:t>
      </w:r>
      <w:bookmarkEnd w:id="5"/>
      <w:bookmarkEnd w:id="6"/>
      <w:bookmarkEnd w:id="7"/>
      <w:bookmarkEnd w:id="8"/>
      <w:bookmarkEnd w:id="9"/>
      <w:bookmarkEnd w:id="10"/>
      <w:bookmarkEnd w:id="11"/>
      <w:bookmarkEnd w:id="12"/>
      <w:bookmarkEnd w:id="13"/>
      <w:bookmarkEnd w:id="14"/>
      <w:bookmarkEnd w:id="15"/>
      <w:bookmarkEnd w:id="16"/>
      <w:bookmarkEnd w:id="17"/>
    </w:p>
    <w:p w14:paraId="0F5CB269" w14:textId="2925DD4F" w:rsidR="0029075E" w:rsidRPr="00057CE2" w:rsidRDefault="0029075E" w:rsidP="0082679A">
      <w:pPr>
        <w:pStyle w:val="Proposal"/>
        <w:tabs>
          <w:tab w:val="clear" w:pos="4706"/>
        </w:tabs>
        <w:ind w:left="1701" w:hanging="1701"/>
        <w:rPr>
          <w:rFonts w:eastAsia="MS Mincho"/>
          <w:lang w:eastAsia="ja-JP"/>
        </w:rPr>
      </w:pPr>
      <w:bookmarkStart w:id="18" w:name="_Toc493675075"/>
      <w:bookmarkStart w:id="19" w:name="_Toc494399642"/>
      <w:bookmarkStart w:id="20" w:name="_Toc494417755"/>
      <w:bookmarkStart w:id="21" w:name="_Toc494421849"/>
      <w:r>
        <w:rPr>
          <w:rFonts w:eastAsia="MS Mincho"/>
          <w:lang w:eastAsia="ja-JP"/>
        </w:rPr>
        <w:t xml:space="preserve">The observation period of the </w:t>
      </w:r>
      <w:r w:rsidRPr="0029075E">
        <w:rPr>
          <w:bCs w:val="0"/>
          <w:i/>
          <w:noProof/>
          <w:lang w:eastAsia="en-GB"/>
        </w:rPr>
        <w:t>systemInfoValueTag</w:t>
      </w:r>
      <w:r>
        <w:rPr>
          <w:bCs w:val="0"/>
          <w:noProof/>
          <w:lang w:eastAsia="en-GB"/>
        </w:rPr>
        <w:t xml:space="preserve"> indicator in MIB should be configurable in some SIB, such as SIB1-BR.</w:t>
      </w:r>
      <w:bookmarkEnd w:id="18"/>
      <w:bookmarkEnd w:id="19"/>
      <w:bookmarkEnd w:id="20"/>
      <w:bookmarkEnd w:id="21"/>
    </w:p>
    <w:p w14:paraId="2CA7F39F" w14:textId="77777777" w:rsidR="00057CE2" w:rsidRPr="0029075E" w:rsidRDefault="00057CE2" w:rsidP="00057CE2">
      <w:pPr>
        <w:pStyle w:val="Proposal"/>
        <w:numPr>
          <w:ilvl w:val="0"/>
          <w:numId w:val="0"/>
        </w:numPr>
        <w:rPr>
          <w:rFonts w:eastAsia="MS Mincho"/>
          <w:lang w:eastAsia="ja-JP"/>
        </w:rPr>
      </w:pPr>
    </w:p>
    <w:p w14:paraId="729BA32C" w14:textId="188A7167" w:rsidR="00F969F2" w:rsidRDefault="00F969F2" w:rsidP="00F969F2">
      <w:pPr>
        <w:pStyle w:val="Heading2"/>
      </w:pPr>
      <w:r>
        <w:t>Indication of EAB change</w:t>
      </w:r>
    </w:p>
    <w:p w14:paraId="5C7AC666" w14:textId="136AD68A" w:rsidR="00F969F2" w:rsidRDefault="00F969F2" w:rsidP="00F969F2">
      <w:r>
        <w:t xml:space="preserve">The second scenario we think </w:t>
      </w:r>
      <w:r w:rsidR="003A4954">
        <w:t>c</w:t>
      </w:r>
      <w:r>
        <w:t xml:space="preserve">ould be addressed is frequent UL reporting: When a UE would have frequent but small uplink transmissions (e.g. reporting every 1 or 5 minutes) and in between the reporting intervals the UE’s connection is released. This means that the UE is required to read MIB and SIB1-BR every time when returning from IDLE mode to see whether ACB and/or EAB is enabled. </w:t>
      </w:r>
    </w:p>
    <w:p w14:paraId="5C26264F" w14:textId="77777777" w:rsidR="00C41E1E" w:rsidRDefault="00C41E1E" w:rsidP="00C41E1E">
      <w:r>
        <w:t>An EAB indication in MIB (together with the system value tag change indication as described in the section 2.1 above) seems to be the main candidate solution in this use case:</w:t>
      </w:r>
    </w:p>
    <w:p w14:paraId="50949128" w14:textId="3540D6B6" w:rsidR="006721A9" w:rsidRDefault="00CE5165" w:rsidP="00C41E1E">
      <w:pPr>
        <w:rPr>
          <w:bCs/>
        </w:rPr>
      </w:pPr>
      <w:r>
        <w:rPr>
          <w:bCs/>
        </w:rPr>
        <w:t xml:space="preserve">EAB is configured in </w:t>
      </w:r>
      <w:r w:rsidR="00C41E1E">
        <w:rPr>
          <w:bCs/>
        </w:rPr>
        <w:t>SIB14</w:t>
      </w:r>
      <w:r>
        <w:rPr>
          <w:bCs/>
        </w:rPr>
        <w:t>, and SIB14</w:t>
      </w:r>
      <w:r w:rsidR="00C41E1E">
        <w:rPr>
          <w:bCs/>
        </w:rPr>
        <w:t xml:space="preserve"> change is not included in the </w:t>
      </w:r>
      <w:r w:rsidR="00C41E1E" w:rsidRPr="0058302D">
        <w:rPr>
          <w:bCs/>
          <w:i/>
          <w:noProof/>
          <w:lang w:eastAsia="en-GB"/>
        </w:rPr>
        <w:t>systemInfoValueTag</w:t>
      </w:r>
      <w:r w:rsidR="00C41E1E">
        <w:rPr>
          <w:bCs/>
        </w:rPr>
        <w:t xml:space="preserve"> and EAB may need to be changed more frequently than other SI</w:t>
      </w:r>
      <w:r w:rsidR="00C41E1E" w:rsidRPr="00BD37F4">
        <w:t xml:space="preserve"> </w:t>
      </w:r>
      <w:r w:rsidR="00C41E1E">
        <w:t xml:space="preserve">and the UE needs always check before accessing </w:t>
      </w:r>
      <w:r w:rsidR="00C41E1E">
        <w:lastRenderedPageBreak/>
        <w:t>whether EAB is enabled and if it is subject to EAB</w:t>
      </w:r>
      <w:r w:rsidR="00C41E1E">
        <w:rPr>
          <w:bCs/>
        </w:rPr>
        <w:t>.</w:t>
      </w:r>
      <w:r w:rsidR="00480851">
        <w:rPr>
          <w:bCs/>
        </w:rPr>
        <w:t xml:space="preserve"> </w:t>
      </w:r>
      <w:r w:rsidR="006721A9">
        <w:rPr>
          <w:bCs/>
        </w:rPr>
        <w:t>Conversely</w:t>
      </w:r>
      <w:r w:rsidR="00480851">
        <w:rPr>
          <w:bCs/>
        </w:rPr>
        <w:t>, ACB is configured in SIB2</w:t>
      </w:r>
      <w:r w:rsidR="006721A9">
        <w:rPr>
          <w:bCs/>
        </w:rPr>
        <w:t xml:space="preserve">, which is subject to the system value tag, thus change in ACB configuration is reflected in the system value tag. </w:t>
      </w:r>
      <w:r>
        <w:rPr>
          <w:bCs/>
        </w:rPr>
        <w:t>T</w:t>
      </w:r>
      <w:r w:rsidR="006721A9">
        <w:rPr>
          <w:bCs/>
        </w:rPr>
        <w:t>herefore, the system value tag indication in MIB as discussed in previous section would indicate if ACB is enabled/modified.</w:t>
      </w:r>
      <w:r w:rsidR="00C41E1E">
        <w:rPr>
          <w:bCs/>
        </w:rPr>
        <w:t xml:space="preserve"> </w:t>
      </w:r>
    </w:p>
    <w:p w14:paraId="3E988A9A" w14:textId="78DE377F" w:rsidR="00C41E1E" w:rsidRDefault="00C41E1E" w:rsidP="00C41E1E">
      <w:r>
        <w:rPr>
          <w:bCs/>
        </w:rPr>
        <w:t>Therefore, a separate indication for EAB in MIB is preferred. In the example use case described above, a UE would anyway need to read MIB</w:t>
      </w:r>
      <w:r w:rsidRPr="00BD37F4">
        <w:t xml:space="preserve"> </w:t>
      </w:r>
      <w:r>
        <w:t>always before attempting to transmit.</w:t>
      </w:r>
      <w:r>
        <w:rPr>
          <w:bCs/>
        </w:rPr>
        <w:t xml:space="preserve"> By having the indication in MIB, reading SIB1-BR can be avoided</w:t>
      </w:r>
      <w:r w:rsidRPr="00BD37F4">
        <w:t xml:space="preserve"> </w:t>
      </w:r>
      <w:r>
        <w:t>in the case where EAB is not enabled, which should be the most common scenario</w:t>
      </w:r>
      <w:r>
        <w:rPr>
          <w:bCs/>
        </w:rPr>
        <w:t>.</w:t>
      </w:r>
      <w:r w:rsidRPr="00BD37F4">
        <w:t xml:space="preserve"> </w:t>
      </w:r>
      <w:r>
        <w:t>If the indication is not set, together with the SI modification indication being not set, which should be usual case for rather frequent uplink reporting, the UE does not need to acquire SIB1-BR as it may assume EAB is not enabled, and carry on with the RRC connection setup/resume procedure after reading MIB.</w:t>
      </w:r>
    </w:p>
    <w:p w14:paraId="7D0A10FB" w14:textId="77777777" w:rsidR="00C41E1E" w:rsidRDefault="00C41E1E" w:rsidP="00C41E1E">
      <w:r>
        <w:t>Only if the indication is set, the UE needs to acquire SIB1-BR to see the scheduling of SIB14 and then it needs to acquire SIB14.</w:t>
      </w:r>
    </w:p>
    <w:p w14:paraId="063A61A0" w14:textId="77777777" w:rsidR="00C41E1E" w:rsidRDefault="00C41E1E" w:rsidP="00C41E1E">
      <w:r>
        <w:t>To be useful, this indication requires the use of the SI indication in MIB as discussed in section 2.1 above.</w:t>
      </w:r>
    </w:p>
    <w:p w14:paraId="08BFF518" w14:textId="78886490" w:rsidR="00C41E1E" w:rsidRDefault="00C41E1E" w:rsidP="00C41E1E">
      <w:r>
        <w:fldChar w:fldCharType="begin"/>
      </w:r>
      <w:r>
        <w:instrText xml:space="preserve"> REF _Ref493669672 \h </w:instrText>
      </w:r>
      <w:r>
        <w:fldChar w:fldCharType="separate"/>
      </w:r>
      <w:r>
        <w:t xml:space="preserve">Figure </w:t>
      </w:r>
      <w:r>
        <w:rPr>
          <w:noProof/>
        </w:rPr>
        <w:t>3</w:t>
      </w:r>
      <w:r>
        <w:fldChar w:fldCharType="end"/>
      </w:r>
      <w:r>
        <w:t xml:space="preserve"> shows the UE behaviour in a case where the UE wakes up from IDLE mode to transmit uplink report with EAB not enabled, which should be the most common case. Case 1) shows the legacy behaviour, where the UE reads MIB and SIB1-BR to see whether EAB configuration</w:t>
      </w:r>
      <w:r w:rsidR="00A31EDF">
        <w:t xml:space="preserve"> has been enabled </w:t>
      </w:r>
      <w:r>
        <w:t xml:space="preserve">or other SI as indicated by the </w:t>
      </w:r>
      <w:r>
        <w:rPr>
          <w:b/>
          <w:bCs/>
          <w:i/>
          <w:noProof/>
          <w:lang w:eastAsia="en-GB"/>
        </w:rPr>
        <w:t>systemInfoValueTag</w:t>
      </w:r>
      <w:r>
        <w:t xml:space="preserve"> have been changed. EAB is not enabled, therefore the UE carries on with RRC resume procedure and transmits its report and is released back to IDLE afterwards.</w:t>
      </w:r>
    </w:p>
    <w:p w14:paraId="472A5583" w14:textId="3FB5BD1E" w:rsidR="00C41E1E" w:rsidRDefault="00C41E1E" w:rsidP="00C41E1E">
      <w:r>
        <w:t xml:space="preserve">In case 2) the EAB indication in MIB is used, together with the indication of system value tag change. When waking up to transmit, the UE first acquires MIB and sees from the EAB indication that EAB is not enabled (and from the system value tag change indication that other SI has not been changed). Therefore, the UE does not need to acquire SIB1-BR </w:t>
      </w:r>
      <w:r w:rsidR="00A31EDF">
        <w:t>and</w:t>
      </w:r>
      <w:r>
        <w:t xml:space="preserve"> can carry on with the RRC resume procedure, transmit its report and is released back to IDLE. With the indication the UE can avoid acquiring SIB1-BR every time when it is about to transmit in uplink when EAB is not enabled.</w:t>
      </w:r>
    </w:p>
    <w:p w14:paraId="04B538CA" w14:textId="77777777" w:rsidR="00C41E1E" w:rsidRDefault="00C41E1E" w:rsidP="00F969F2"/>
    <w:p w14:paraId="2CEE2970" w14:textId="77777777" w:rsidR="0079166E" w:rsidRDefault="0079166E" w:rsidP="0079166E">
      <w:pPr>
        <w:keepNext/>
      </w:pPr>
      <w:r>
        <w:rPr>
          <w:noProof/>
          <w:lang w:val="en-US" w:eastAsia="en-US"/>
        </w:rPr>
        <w:lastRenderedPageBreak/>
        <w:drawing>
          <wp:inline distT="0" distB="0" distL="0" distR="0" wp14:anchorId="44AFC5AA" wp14:editId="755A41B3">
            <wp:extent cx="6564532" cy="478155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67477" cy="4783695"/>
                    </a:xfrm>
                    <a:prstGeom prst="rect">
                      <a:avLst/>
                    </a:prstGeom>
                    <a:noFill/>
                  </pic:spPr>
                </pic:pic>
              </a:graphicData>
            </a:graphic>
          </wp:inline>
        </w:drawing>
      </w:r>
    </w:p>
    <w:p w14:paraId="0E340C35" w14:textId="7584A508" w:rsidR="0079166E" w:rsidRDefault="0079166E" w:rsidP="0079166E">
      <w:pPr>
        <w:pStyle w:val="Caption"/>
        <w:jc w:val="both"/>
      </w:pPr>
      <w:bookmarkStart w:id="22" w:name="_Ref493669672"/>
      <w:r>
        <w:t xml:space="preserve">Figure </w:t>
      </w:r>
      <w:r>
        <w:fldChar w:fldCharType="begin"/>
      </w:r>
      <w:r>
        <w:instrText xml:space="preserve"> SEQ Figure \* ARABIC </w:instrText>
      </w:r>
      <w:r>
        <w:fldChar w:fldCharType="separate"/>
      </w:r>
      <w:r w:rsidR="004F4527">
        <w:rPr>
          <w:noProof/>
        </w:rPr>
        <w:t>3</w:t>
      </w:r>
      <w:r>
        <w:fldChar w:fldCharType="end"/>
      </w:r>
      <w:bookmarkEnd w:id="22"/>
      <w:r w:rsidR="004F4527">
        <w:t>: EAB checking before accessing without and with EAB indication in MIB when EAB is not enabled</w:t>
      </w:r>
    </w:p>
    <w:p w14:paraId="477B5B3A" w14:textId="159E523D" w:rsidR="00C41E1E" w:rsidRDefault="00C41E1E" w:rsidP="00C41E1E">
      <w:r>
        <w:fldChar w:fldCharType="begin"/>
      </w:r>
      <w:r>
        <w:instrText xml:space="preserve"> REF _Ref493670115 \h </w:instrText>
      </w:r>
      <w:r>
        <w:fldChar w:fldCharType="separate"/>
      </w:r>
      <w:r>
        <w:t xml:space="preserve">Figure </w:t>
      </w:r>
      <w:r>
        <w:rPr>
          <w:noProof/>
        </w:rPr>
        <w:t>4</w:t>
      </w:r>
      <w:r>
        <w:fldChar w:fldCharType="end"/>
      </w:r>
      <w:r>
        <w:t xml:space="preserve"> shows the case where EAB is enabled, both with and without the EAB indication in MIB.</w:t>
      </w:r>
      <w:r w:rsidR="00CE5165">
        <w:t xml:space="preserve"> This is a rare case as compared to the case above, where EAB is not enabled, and thus should not be the focus of optimizations.</w:t>
      </w:r>
      <w:r>
        <w:t xml:space="preserve"> In this case 3), the UE behaviour is the same with or without the EAB indication in MIB. When UE is waking up, it first needs to acquire MIB, without the indication the UE is required also acquire SIB1-BR to see whether EAB is enabled and to receive the scheduling configuration of SIB14. On the other hand, with the indication in MIB, the UE already sees after acquiring MIB that EAB is enabled, however it also needs to acquire SIB1-BR to receive the scheduling configuration of SIB14, where EAB is configured. After acquiring SIB1-BR in both cases, the UE has the scheduling configuration of SIB14 and acquires SIB14 to see the EAB configuration and whether it’s access class is barred. If it is allowed to access by EAB, the UE carries on with RRC resume procedure and transmits its report and is released back to IDLE afterwards.</w:t>
      </w:r>
      <w:r w:rsidR="00CE5165">
        <w:t xml:space="preserve"> However, as mentioned, this is a rare case, and the proposed optimization improves the most common case, when EAB is not enabled.</w:t>
      </w:r>
    </w:p>
    <w:p w14:paraId="67020865" w14:textId="77777777" w:rsidR="00C41E1E" w:rsidRDefault="00C41E1E" w:rsidP="004F4527">
      <w:pPr>
        <w:keepNext/>
      </w:pPr>
    </w:p>
    <w:p w14:paraId="52882183" w14:textId="35C87A21" w:rsidR="004F4527" w:rsidRDefault="004F4527" w:rsidP="004F4527">
      <w:pPr>
        <w:keepNext/>
      </w:pPr>
      <w:r>
        <w:rPr>
          <w:noProof/>
          <w:lang w:val="en-US" w:eastAsia="en-US"/>
        </w:rPr>
        <w:drawing>
          <wp:inline distT="0" distB="0" distL="0" distR="0" wp14:anchorId="67C4B4BF" wp14:editId="72E2F3F9">
            <wp:extent cx="6505575" cy="2267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09814" cy="2268697"/>
                    </a:xfrm>
                    <a:prstGeom prst="rect">
                      <a:avLst/>
                    </a:prstGeom>
                    <a:noFill/>
                  </pic:spPr>
                </pic:pic>
              </a:graphicData>
            </a:graphic>
          </wp:inline>
        </w:drawing>
      </w:r>
    </w:p>
    <w:p w14:paraId="01485EE5" w14:textId="40141B4E" w:rsidR="004F4527" w:rsidRDefault="004F4527" w:rsidP="004F4527">
      <w:pPr>
        <w:pStyle w:val="Caption"/>
        <w:jc w:val="both"/>
      </w:pPr>
      <w:bookmarkStart w:id="23" w:name="_Ref493670115"/>
      <w:r>
        <w:t xml:space="preserve">Figure </w:t>
      </w:r>
      <w:r>
        <w:fldChar w:fldCharType="begin"/>
      </w:r>
      <w:r>
        <w:instrText xml:space="preserve"> SEQ Figure \* ARABIC </w:instrText>
      </w:r>
      <w:r>
        <w:fldChar w:fldCharType="separate"/>
      </w:r>
      <w:r>
        <w:rPr>
          <w:noProof/>
        </w:rPr>
        <w:t>4</w:t>
      </w:r>
      <w:r>
        <w:fldChar w:fldCharType="end"/>
      </w:r>
      <w:bookmarkEnd w:id="23"/>
      <w:r>
        <w:t>: EAB checking before accessing without and with EAB indication in MIB when EAB is enabled</w:t>
      </w:r>
    </w:p>
    <w:p w14:paraId="2C10934F" w14:textId="7A1F66EB" w:rsidR="0079166E" w:rsidRDefault="00C41E1E" w:rsidP="00F969F2">
      <w:r>
        <w:t xml:space="preserve">Having 1 bit flag in MIB for indicating whether EAB is enabled or not allows skipping SIB1-BR acquisition in the usual case where EAB is not enabled. Therefore we propose the following: </w:t>
      </w:r>
    </w:p>
    <w:p w14:paraId="066C08D4" w14:textId="77777777" w:rsidR="00206FD3" w:rsidRPr="00236375" w:rsidRDefault="00206FD3" w:rsidP="00206FD3">
      <w:pPr>
        <w:pStyle w:val="Proposal"/>
        <w:tabs>
          <w:tab w:val="clear" w:pos="4706"/>
        </w:tabs>
        <w:ind w:left="1701" w:hanging="1701"/>
        <w:rPr>
          <w:rFonts w:eastAsia="MS Mincho"/>
          <w:lang w:eastAsia="ja-JP"/>
        </w:rPr>
      </w:pPr>
      <w:bookmarkStart w:id="24" w:name="_Toc486937829"/>
      <w:bookmarkStart w:id="25" w:name="_Toc487122626"/>
      <w:bookmarkStart w:id="26" w:name="_Toc487202774"/>
      <w:bookmarkStart w:id="27" w:name="_Toc487203732"/>
      <w:bookmarkStart w:id="28" w:name="_Toc490212212"/>
      <w:bookmarkStart w:id="29" w:name="_Toc490229941"/>
      <w:bookmarkStart w:id="30" w:name="_Toc490229947"/>
      <w:bookmarkStart w:id="31" w:name="_Toc490230541"/>
      <w:bookmarkStart w:id="32" w:name="_Toc490267895"/>
      <w:bookmarkStart w:id="33" w:name="_Toc493675076"/>
      <w:bookmarkStart w:id="34" w:name="_Toc494399643"/>
      <w:bookmarkStart w:id="35" w:name="_Toc494417756"/>
      <w:bookmarkStart w:id="36" w:name="_Toc494421850"/>
      <w:r>
        <w:rPr>
          <w:rFonts w:eastAsia="MS Mincho"/>
          <w:lang w:eastAsia="ja-JP"/>
        </w:rPr>
        <w:t>Add 1 bit flag to MIB to indicate whether enhanced access barring is enabled.</w:t>
      </w:r>
      <w:bookmarkEnd w:id="24"/>
      <w:bookmarkEnd w:id="25"/>
      <w:bookmarkEnd w:id="26"/>
      <w:bookmarkEnd w:id="27"/>
      <w:bookmarkEnd w:id="28"/>
      <w:bookmarkEnd w:id="29"/>
      <w:bookmarkEnd w:id="30"/>
      <w:bookmarkEnd w:id="31"/>
      <w:bookmarkEnd w:id="32"/>
      <w:bookmarkEnd w:id="33"/>
      <w:bookmarkEnd w:id="34"/>
      <w:bookmarkEnd w:id="35"/>
      <w:bookmarkEnd w:id="36"/>
    </w:p>
    <w:p w14:paraId="7D039487" w14:textId="77777777" w:rsidR="00206FD3" w:rsidRPr="00C5055C" w:rsidRDefault="00206FD3" w:rsidP="00F969F2"/>
    <w:p w14:paraId="7E690B51" w14:textId="3E111D04" w:rsidR="00C01F33" w:rsidRPr="00CE0424" w:rsidRDefault="00C01F33" w:rsidP="00CE0424">
      <w:pPr>
        <w:pStyle w:val="Heading1"/>
      </w:pPr>
      <w:r w:rsidRPr="00CE0424">
        <w:t>Conclusion</w:t>
      </w:r>
    </w:p>
    <w:p w14:paraId="06887176" w14:textId="0128F628" w:rsidR="00A6377D" w:rsidRPr="003E6C3D" w:rsidRDefault="008E065E" w:rsidP="00057CE2">
      <w:pPr>
        <w:pStyle w:val="TOC1"/>
        <w:jc w:val="both"/>
        <w:rPr>
          <w:b w:val="0"/>
        </w:rPr>
      </w:pPr>
      <w:bookmarkStart w:id="37" w:name="_Hlk490213059"/>
      <w:r w:rsidRPr="003E6C3D">
        <w:rPr>
          <w:b w:val="0"/>
        </w:rPr>
        <w:t xml:space="preserve">Based on the discussion in section </w:t>
      </w:r>
      <w:r w:rsidRPr="003E6C3D">
        <w:rPr>
          <w:b w:val="0"/>
          <w:highlight w:val="cyan"/>
        </w:rPr>
        <w:fldChar w:fldCharType="begin"/>
      </w:r>
      <w:r w:rsidRPr="003E6C3D">
        <w:rPr>
          <w:b w:val="0"/>
        </w:rPr>
        <w:instrText xml:space="preserve"> REF _Ref178064866 \r \h </w:instrText>
      </w:r>
      <w:r w:rsidR="003E6C3D">
        <w:rPr>
          <w:b w:val="0"/>
          <w:highlight w:val="cyan"/>
        </w:rPr>
        <w:instrText xml:space="preserve"> \* MERGEFORMAT </w:instrText>
      </w:r>
      <w:r w:rsidRPr="003E6C3D">
        <w:rPr>
          <w:b w:val="0"/>
          <w:highlight w:val="cyan"/>
        </w:rPr>
      </w:r>
      <w:r w:rsidRPr="003E6C3D">
        <w:rPr>
          <w:b w:val="0"/>
          <w:highlight w:val="cyan"/>
        </w:rPr>
        <w:fldChar w:fldCharType="separate"/>
      </w:r>
      <w:r w:rsidR="00B42BDB" w:rsidRPr="003E6C3D">
        <w:rPr>
          <w:b w:val="0"/>
        </w:rPr>
        <w:t>2</w:t>
      </w:r>
      <w:r w:rsidRPr="003E6C3D">
        <w:rPr>
          <w:b w:val="0"/>
          <w:highlight w:val="cyan"/>
        </w:rPr>
        <w:fldChar w:fldCharType="end"/>
      </w:r>
      <w:r w:rsidRPr="003E6C3D">
        <w:rPr>
          <w:b w:val="0"/>
        </w:rPr>
        <w:t xml:space="preserve"> we propose the following:</w:t>
      </w:r>
    </w:p>
    <w:p w14:paraId="3F52DA26" w14:textId="77777777" w:rsidR="00057CE2" w:rsidRDefault="008E065E" w:rsidP="00057CE2">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57CE2" w:rsidRPr="006F4678">
        <w:rPr>
          <w:rFonts w:eastAsia="MS Mincho"/>
          <w:lang w:eastAsia="ja-JP"/>
        </w:rPr>
        <w:t>Proposal 1</w:t>
      </w:r>
      <w:r w:rsidR="00057CE2">
        <w:rPr>
          <w:rFonts w:asciiTheme="minorHAnsi" w:eastAsiaTheme="minorEastAsia" w:hAnsiTheme="minorHAnsi" w:cstheme="minorBidi"/>
          <w:b w:val="0"/>
          <w:sz w:val="22"/>
          <w:lang w:eastAsia="en-US"/>
        </w:rPr>
        <w:tab/>
      </w:r>
      <w:r w:rsidR="00057CE2" w:rsidRPr="006F4678">
        <w:rPr>
          <w:rFonts w:eastAsia="MS Mincho"/>
          <w:lang w:eastAsia="ja-JP"/>
        </w:rPr>
        <w:t xml:space="preserve">Add 1 bit indicator to MIB to indicate whether </w:t>
      </w:r>
      <w:r w:rsidR="00057CE2" w:rsidRPr="006F4678">
        <w:rPr>
          <w:i/>
          <w:lang w:eastAsia="en-GB"/>
        </w:rPr>
        <w:t>systemInfoValueTag</w:t>
      </w:r>
      <w:r w:rsidR="00057CE2" w:rsidRPr="006F4678">
        <w:rPr>
          <w:rFonts w:eastAsia="MS Mincho"/>
          <w:lang w:eastAsia="ja-JP"/>
        </w:rPr>
        <w:t xml:space="preserve"> in SIB1-BR has changed since the end of previous observation period of the indicator.</w:t>
      </w:r>
    </w:p>
    <w:p w14:paraId="6887B207" w14:textId="77777777" w:rsidR="00057CE2" w:rsidRDefault="00057CE2" w:rsidP="00057CE2">
      <w:pPr>
        <w:pStyle w:val="TOC1"/>
        <w:jc w:val="both"/>
        <w:rPr>
          <w:rFonts w:asciiTheme="minorHAnsi" w:eastAsiaTheme="minorEastAsia" w:hAnsiTheme="minorHAnsi" w:cstheme="minorBidi"/>
          <w:b w:val="0"/>
          <w:sz w:val="22"/>
          <w:lang w:eastAsia="en-US"/>
        </w:rPr>
      </w:pPr>
      <w:r w:rsidRPr="006F4678">
        <w:rPr>
          <w:rFonts w:eastAsia="MS Mincho"/>
          <w:lang w:eastAsia="ja-JP"/>
        </w:rPr>
        <w:t>Proposal 2</w:t>
      </w:r>
      <w:r>
        <w:rPr>
          <w:rFonts w:asciiTheme="minorHAnsi" w:eastAsiaTheme="minorEastAsia" w:hAnsiTheme="minorHAnsi" w:cstheme="minorBidi"/>
          <w:b w:val="0"/>
          <w:sz w:val="22"/>
          <w:lang w:eastAsia="en-US"/>
        </w:rPr>
        <w:tab/>
      </w:r>
      <w:r w:rsidRPr="006F4678">
        <w:rPr>
          <w:rFonts w:eastAsia="MS Mincho"/>
          <w:lang w:eastAsia="ja-JP"/>
        </w:rPr>
        <w:t xml:space="preserve">The observation period of the </w:t>
      </w:r>
      <w:r w:rsidRPr="006F4678">
        <w:rPr>
          <w:i/>
          <w:lang w:eastAsia="en-GB"/>
        </w:rPr>
        <w:t>systemInfoValueTag</w:t>
      </w:r>
      <w:r w:rsidRPr="006F4678">
        <w:rPr>
          <w:lang w:eastAsia="en-GB"/>
        </w:rPr>
        <w:t xml:space="preserve"> indicator in MIB should be configurable in some SIB, such as SIB1-BR.</w:t>
      </w:r>
    </w:p>
    <w:p w14:paraId="38C5A8A9" w14:textId="77777777" w:rsidR="00057CE2" w:rsidRDefault="00057CE2" w:rsidP="00057CE2">
      <w:pPr>
        <w:pStyle w:val="TOC1"/>
        <w:jc w:val="both"/>
        <w:rPr>
          <w:rFonts w:asciiTheme="minorHAnsi" w:eastAsiaTheme="minorEastAsia" w:hAnsiTheme="minorHAnsi" w:cstheme="minorBidi"/>
          <w:b w:val="0"/>
          <w:sz w:val="22"/>
          <w:lang w:eastAsia="en-US"/>
        </w:rPr>
      </w:pPr>
      <w:r w:rsidRPr="006F4678">
        <w:rPr>
          <w:rFonts w:eastAsia="MS Mincho"/>
          <w:lang w:eastAsia="ja-JP"/>
        </w:rPr>
        <w:t>Proposal 3</w:t>
      </w:r>
      <w:r>
        <w:rPr>
          <w:rFonts w:asciiTheme="minorHAnsi" w:eastAsiaTheme="minorEastAsia" w:hAnsiTheme="minorHAnsi" w:cstheme="minorBidi"/>
          <w:b w:val="0"/>
          <w:sz w:val="22"/>
          <w:lang w:eastAsia="en-US"/>
        </w:rPr>
        <w:tab/>
      </w:r>
      <w:r w:rsidRPr="006F4678">
        <w:rPr>
          <w:rFonts w:eastAsia="MS Mincho"/>
          <w:lang w:eastAsia="ja-JP"/>
        </w:rPr>
        <w:t>Add 1 bit flag to MIB to indicate whether enhanced access barring is enabled.</w:t>
      </w:r>
    </w:p>
    <w:p w14:paraId="0C30B33E" w14:textId="362833AA" w:rsidR="00311702" w:rsidRPr="00D04434" w:rsidRDefault="008E065E" w:rsidP="00057CE2">
      <w:pPr>
        <w:rPr>
          <w:b/>
          <w:bCs/>
        </w:rPr>
      </w:pPr>
      <w:r>
        <w:rPr>
          <w:b/>
          <w:bCs/>
        </w:rPr>
        <w:fldChar w:fldCharType="end"/>
      </w:r>
      <w:bookmarkEnd w:id="37"/>
    </w:p>
    <w:p w14:paraId="43591C01" w14:textId="77777777" w:rsidR="00C01F33" w:rsidRPr="00CE0424" w:rsidRDefault="00C01F33" w:rsidP="006E062C"/>
    <w:p w14:paraId="4C9431F6" w14:textId="77777777" w:rsidR="00F507D1" w:rsidRPr="00CE0424" w:rsidRDefault="00F507D1" w:rsidP="00CE0424">
      <w:pPr>
        <w:pStyle w:val="Heading1"/>
      </w:pPr>
      <w:bookmarkStart w:id="38" w:name="_In-sequence_SDU_delivery"/>
      <w:bookmarkEnd w:id="38"/>
      <w:r w:rsidRPr="00CE0424">
        <w:t>References</w:t>
      </w:r>
    </w:p>
    <w:p w14:paraId="24512EB8" w14:textId="77777777" w:rsidR="00463737" w:rsidRDefault="00463737" w:rsidP="00463737">
      <w:pPr>
        <w:pStyle w:val="Reference"/>
      </w:pPr>
      <w:bookmarkStart w:id="39" w:name="_Ref494404092"/>
      <w:bookmarkStart w:id="40" w:name="_Ref174151459"/>
      <w:bookmarkStart w:id="41" w:name="_Ref189809556"/>
      <w:r>
        <w:t>R2-</w:t>
      </w:r>
      <w:r w:rsidRPr="00636421">
        <w:t>1711477</w:t>
      </w:r>
      <w:r>
        <w:t>, “</w:t>
      </w:r>
      <w:r w:rsidRPr="00736A8E">
        <w:t>Email discussion report [99#46] [MTC] Skipping SIB1-BR</w:t>
      </w:r>
      <w:r>
        <w:t>”, Sierra Wireless S.A., RAN2#99bis, Prague, Czech Republic, October 2017</w:t>
      </w:r>
      <w:bookmarkEnd w:id="39"/>
    </w:p>
    <w:p w14:paraId="1D9AB123" w14:textId="421AFC21" w:rsidR="00D27FAD" w:rsidRPr="00D27FAD" w:rsidRDefault="00D27FAD" w:rsidP="006833BE">
      <w:pPr>
        <w:pStyle w:val="Reference"/>
      </w:pPr>
      <w:r w:rsidRPr="00D27FAD">
        <w:t xml:space="preserve">3GPP TS 36.331, “Radio Resource Control (RRC) protocol specification”, v14.2.2, April 2017.  </w:t>
      </w:r>
    </w:p>
    <w:bookmarkEnd w:id="40"/>
    <w:bookmarkEnd w:id="41"/>
    <w:p w14:paraId="0C233902" w14:textId="77777777" w:rsidR="00C57F9A" w:rsidRPr="00CE0424" w:rsidRDefault="00C57F9A" w:rsidP="00C57F9A"/>
    <w:p w14:paraId="7AA6E6A4" w14:textId="3BE10EF3" w:rsidR="003A7EF3" w:rsidRPr="00CE0424" w:rsidRDefault="003A7EF3" w:rsidP="00CE0424">
      <w:pPr>
        <w:pStyle w:val="BodyText"/>
      </w:pPr>
    </w:p>
    <w:sectPr w:rsidR="003A7EF3" w:rsidRPr="00CE042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58E22" w14:textId="77777777" w:rsidR="000338FB" w:rsidRDefault="000338FB">
      <w:r>
        <w:separator/>
      </w:r>
    </w:p>
  </w:endnote>
  <w:endnote w:type="continuationSeparator" w:id="0">
    <w:p w14:paraId="50E25443" w14:textId="77777777" w:rsidR="000338FB" w:rsidRDefault="000338FB">
      <w:r>
        <w:continuationSeparator/>
      </w:r>
    </w:p>
  </w:endnote>
  <w:endnote w:type="continuationNotice" w:id="1">
    <w:p w14:paraId="1D4AE604" w14:textId="77777777" w:rsidR="000338FB" w:rsidRDefault="00033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50E87" w14:textId="77777777" w:rsidR="00463737" w:rsidRDefault="004637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0354A91" w:rsidR="00463737" w:rsidRDefault="004637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1A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1AA8">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A951C" w14:textId="77777777" w:rsidR="00463737" w:rsidRDefault="00463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35E26" w14:textId="77777777" w:rsidR="000338FB" w:rsidRDefault="000338FB">
      <w:r>
        <w:separator/>
      </w:r>
    </w:p>
  </w:footnote>
  <w:footnote w:type="continuationSeparator" w:id="0">
    <w:p w14:paraId="55F57628" w14:textId="77777777" w:rsidR="000338FB" w:rsidRDefault="000338FB">
      <w:r>
        <w:continuationSeparator/>
      </w:r>
    </w:p>
  </w:footnote>
  <w:footnote w:type="continuationNotice" w:id="1">
    <w:p w14:paraId="7C8D8FAC" w14:textId="77777777" w:rsidR="000338FB" w:rsidRDefault="00033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63737" w:rsidRDefault="0046373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F22EA" w14:textId="77777777" w:rsidR="00463737" w:rsidRDefault="00463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D5130" w14:textId="77777777" w:rsidR="00463737" w:rsidRDefault="00463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8A8F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C68A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5AEB5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53A72"/>
    <w:multiLevelType w:val="hybridMultilevel"/>
    <w:tmpl w:val="D90C4412"/>
    <w:lvl w:ilvl="0" w:tplc="F32C7550">
      <w:start w:val="1"/>
      <w:numFmt w:val="bullet"/>
      <w:lvlText w:val="›"/>
      <w:lvlJc w:val="left"/>
      <w:pPr>
        <w:tabs>
          <w:tab w:val="num" w:pos="720"/>
        </w:tabs>
        <w:ind w:left="720" w:hanging="360"/>
      </w:pPr>
      <w:rPr>
        <w:rFonts w:ascii="Arial" w:hAnsi="Arial" w:hint="default"/>
      </w:rPr>
    </w:lvl>
    <w:lvl w:ilvl="1" w:tplc="F3603E80" w:tentative="1">
      <w:start w:val="1"/>
      <w:numFmt w:val="bullet"/>
      <w:lvlText w:val="›"/>
      <w:lvlJc w:val="left"/>
      <w:pPr>
        <w:tabs>
          <w:tab w:val="num" w:pos="1440"/>
        </w:tabs>
        <w:ind w:left="1440" w:hanging="360"/>
      </w:pPr>
      <w:rPr>
        <w:rFonts w:ascii="Arial" w:hAnsi="Arial" w:hint="default"/>
      </w:rPr>
    </w:lvl>
    <w:lvl w:ilvl="2" w:tplc="0DC47EA2" w:tentative="1">
      <w:start w:val="1"/>
      <w:numFmt w:val="bullet"/>
      <w:lvlText w:val="›"/>
      <w:lvlJc w:val="left"/>
      <w:pPr>
        <w:tabs>
          <w:tab w:val="num" w:pos="2160"/>
        </w:tabs>
        <w:ind w:left="2160" w:hanging="360"/>
      </w:pPr>
      <w:rPr>
        <w:rFonts w:ascii="Arial" w:hAnsi="Arial" w:hint="default"/>
      </w:rPr>
    </w:lvl>
    <w:lvl w:ilvl="3" w:tplc="A844DE2A" w:tentative="1">
      <w:start w:val="1"/>
      <w:numFmt w:val="bullet"/>
      <w:lvlText w:val="›"/>
      <w:lvlJc w:val="left"/>
      <w:pPr>
        <w:tabs>
          <w:tab w:val="num" w:pos="2880"/>
        </w:tabs>
        <w:ind w:left="2880" w:hanging="360"/>
      </w:pPr>
      <w:rPr>
        <w:rFonts w:ascii="Arial" w:hAnsi="Arial" w:hint="default"/>
      </w:rPr>
    </w:lvl>
    <w:lvl w:ilvl="4" w:tplc="A5F8B51C" w:tentative="1">
      <w:start w:val="1"/>
      <w:numFmt w:val="bullet"/>
      <w:lvlText w:val="›"/>
      <w:lvlJc w:val="left"/>
      <w:pPr>
        <w:tabs>
          <w:tab w:val="num" w:pos="3600"/>
        </w:tabs>
        <w:ind w:left="3600" w:hanging="360"/>
      </w:pPr>
      <w:rPr>
        <w:rFonts w:ascii="Arial" w:hAnsi="Arial" w:hint="default"/>
      </w:rPr>
    </w:lvl>
    <w:lvl w:ilvl="5" w:tplc="6D328CFE" w:tentative="1">
      <w:start w:val="1"/>
      <w:numFmt w:val="bullet"/>
      <w:lvlText w:val="›"/>
      <w:lvlJc w:val="left"/>
      <w:pPr>
        <w:tabs>
          <w:tab w:val="num" w:pos="4320"/>
        </w:tabs>
        <w:ind w:left="4320" w:hanging="360"/>
      </w:pPr>
      <w:rPr>
        <w:rFonts w:ascii="Arial" w:hAnsi="Arial" w:hint="default"/>
      </w:rPr>
    </w:lvl>
    <w:lvl w:ilvl="6" w:tplc="958484FE" w:tentative="1">
      <w:start w:val="1"/>
      <w:numFmt w:val="bullet"/>
      <w:lvlText w:val="›"/>
      <w:lvlJc w:val="left"/>
      <w:pPr>
        <w:tabs>
          <w:tab w:val="num" w:pos="5040"/>
        </w:tabs>
        <w:ind w:left="5040" w:hanging="360"/>
      </w:pPr>
      <w:rPr>
        <w:rFonts w:ascii="Arial" w:hAnsi="Arial" w:hint="default"/>
      </w:rPr>
    </w:lvl>
    <w:lvl w:ilvl="7" w:tplc="AB94E502" w:tentative="1">
      <w:start w:val="1"/>
      <w:numFmt w:val="bullet"/>
      <w:lvlText w:val="›"/>
      <w:lvlJc w:val="left"/>
      <w:pPr>
        <w:tabs>
          <w:tab w:val="num" w:pos="5760"/>
        </w:tabs>
        <w:ind w:left="5760" w:hanging="360"/>
      </w:pPr>
      <w:rPr>
        <w:rFonts w:ascii="Arial" w:hAnsi="Arial" w:hint="default"/>
      </w:rPr>
    </w:lvl>
    <w:lvl w:ilvl="8" w:tplc="1C00B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E48F1"/>
    <w:multiLevelType w:val="hybridMultilevel"/>
    <w:tmpl w:val="3EC8ECD0"/>
    <w:lvl w:ilvl="0" w:tplc="DFA8EED0">
      <w:numFmt w:val="bullet"/>
      <w:lvlText w:val="-"/>
      <w:lvlJc w:val="left"/>
      <w:pPr>
        <w:ind w:left="676" w:hanging="360"/>
      </w:pPr>
      <w:rPr>
        <w:rFonts w:ascii="Times New Roman" w:eastAsia="SimSun" w:hAnsi="Times New Roman" w:cs="Times New Roman" w:hint="default"/>
      </w:rPr>
    </w:lvl>
    <w:lvl w:ilvl="1" w:tplc="FFFFFFFF">
      <w:start w:val="2"/>
      <w:numFmt w:val="bullet"/>
      <w:lvlText w:val="-"/>
      <w:lvlJc w:val="left"/>
      <w:pPr>
        <w:ind w:left="1396" w:hanging="360"/>
      </w:pPr>
      <w:rPr>
        <w:rFonts w:ascii="Times New Roman" w:eastAsia="MS Mincho" w:hAnsi="Times New Roman" w:cs="Times New Roman" w:hint="default"/>
      </w:rPr>
    </w:lvl>
    <w:lvl w:ilvl="2" w:tplc="04090005">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 w15:restartNumberingAfterBreak="0">
    <w:nsid w:val="12FF6BAF"/>
    <w:multiLevelType w:val="hybridMultilevel"/>
    <w:tmpl w:val="B8DA323A"/>
    <w:lvl w:ilvl="0" w:tplc="241249D4">
      <w:start w:val="1"/>
      <w:numFmt w:val="bullet"/>
      <w:lvlText w:val="–"/>
      <w:lvlJc w:val="left"/>
      <w:pPr>
        <w:tabs>
          <w:tab w:val="num" w:pos="720"/>
        </w:tabs>
        <w:ind w:left="720" w:hanging="360"/>
      </w:pPr>
      <w:rPr>
        <w:rFonts w:ascii="Ericsson Capital TT" w:hAnsi="Ericsson Capital TT" w:hint="default"/>
      </w:rPr>
    </w:lvl>
    <w:lvl w:ilvl="1" w:tplc="BEEC15D4">
      <w:start w:val="1"/>
      <w:numFmt w:val="bullet"/>
      <w:lvlText w:val="–"/>
      <w:lvlJc w:val="left"/>
      <w:pPr>
        <w:tabs>
          <w:tab w:val="num" w:pos="1440"/>
        </w:tabs>
        <w:ind w:left="1440" w:hanging="360"/>
      </w:pPr>
      <w:rPr>
        <w:rFonts w:ascii="Ericsson Capital TT" w:hAnsi="Ericsson Capital TT" w:hint="default"/>
      </w:rPr>
    </w:lvl>
    <w:lvl w:ilvl="2" w:tplc="BC802C52">
      <w:start w:val="1"/>
      <w:numFmt w:val="bullet"/>
      <w:lvlText w:val="–"/>
      <w:lvlJc w:val="left"/>
      <w:pPr>
        <w:tabs>
          <w:tab w:val="num" w:pos="2160"/>
        </w:tabs>
        <w:ind w:left="2160" w:hanging="360"/>
      </w:pPr>
      <w:rPr>
        <w:rFonts w:ascii="Ericsson Capital TT" w:hAnsi="Ericsson Capital TT" w:hint="default"/>
      </w:rPr>
    </w:lvl>
    <w:lvl w:ilvl="3" w:tplc="8B8C0818" w:tentative="1">
      <w:start w:val="1"/>
      <w:numFmt w:val="bullet"/>
      <w:lvlText w:val="–"/>
      <w:lvlJc w:val="left"/>
      <w:pPr>
        <w:tabs>
          <w:tab w:val="num" w:pos="2880"/>
        </w:tabs>
        <w:ind w:left="2880" w:hanging="360"/>
      </w:pPr>
      <w:rPr>
        <w:rFonts w:ascii="Ericsson Capital TT" w:hAnsi="Ericsson Capital TT" w:hint="default"/>
      </w:rPr>
    </w:lvl>
    <w:lvl w:ilvl="4" w:tplc="BF4E93C2" w:tentative="1">
      <w:start w:val="1"/>
      <w:numFmt w:val="bullet"/>
      <w:lvlText w:val="–"/>
      <w:lvlJc w:val="left"/>
      <w:pPr>
        <w:tabs>
          <w:tab w:val="num" w:pos="3600"/>
        </w:tabs>
        <w:ind w:left="3600" w:hanging="360"/>
      </w:pPr>
      <w:rPr>
        <w:rFonts w:ascii="Ericsson Capital TT" w:hAnsi="Ericsson Capital TT" w:hint="default"/>
      </w:rPr>
    </w:lvl>
    <w:lvl w:ilvl="5" w:tplc="E04A165C" w:tentative="1">
      <w:start w:val="1"/>
      <w:numFmt w:val="bullet"/>
      <w:lvlText w:val="–"/>
      <w:lvlJc w:val="left"/>
      <w:pPr>
        <w:tabs>
          <w:tab w:val="num" w:pos="4320"/>
        </w:tabs>
        <w:ind w:left="4320" w:hanging="360"/>
      </w:pPr>
      <w:rPr>
        <w:rFonts w:ascii="Ericsson Capital TT" w:hAnsi="Ericsson Capital TT" w:hint="default"/>
      </w:rPr>
    </w:lvl>
    <w:lvl w:ilvl="6" w:tplc="26B08780" w:tentative="1">
      <w:start w:val="1"/>
      <w:numFmt w:val="bullet"/>
      <w:lvlText w:val="–"/>
      <w:lvlJc w:val="left"/>
      <w:pPr>
        <w:tabs>
          <w:tab w:val="num" w:pos="5040"/>
        </w:tabs>
        <w:ind w:left="5040" w:hanging="360"/>
      </w:pPr>
      <w:rPr>
        <w:rFonts w:ascii="Ericsson Capital TT" w:hAnsi="Ericsson Capital TT" w:hint="default"/>
      </w:rPr>
    </w:lvl>
    <w:lvl w:ilvl="7" w:tplc="BFD28F3C" w:tentative="1">
      <w:start w:val="1"/>
      <w:numFmt w:val="bullet"/>
      <w:lvlText w:val="–"/>
      <w:lvlJc w:val="left"/>
      <w:pPr>
        <w:tabs>
          <w:tab w:val="num" w:pos="5760"/>
        </w:tabs>
        <w:ind w:left="5760" w:hanging="360"/>
      </w:pPr>
      <w:rPr>
        <w:rFonts w:ascii="Ericsson Capital TT" w:hAnsi="Ericsson Capital TT" w:hint="default"/>
      </w:rPr>
    </w:lvl>
    <w:lvl w:ilvl="8" w:tplc="9AE27CD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29013C12"/>
    <w:multiLevelType w:val="hybridMultilevel"/>
    <w:tmpl w:val="550AFB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713C896C">
      <w:start w:val="10"/>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EE21C5"/>
    <w:multiLevelType w:val="hybridMultilevel"/>
    <w:tmpl w:val="565C7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4706"/>
        </w:tabs>
        <w:ind w:left="4706"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62061"/>
    <w:multiLevelType w:val="hybridMultilevel"/>
    <w:tmpl w:val="D006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7"/>
  </w:num>
  <w:num w:numId="15">
    <w:abstractNumId w:val="6"/>
  </w:num>
  <w:num w:numId="16">
    <w:abstractNumId w:val="4"/>
  </w:num>
  <w:num w:numId="17">
    <w:abstractNumId w:val="8"/>
  </w:num>
  <w:num w:numId="18">
    <w:abstractNumId w:val="12"/>
  </w:num>
  <w:num w:numId="19">
    <w:abstractNumId w:val="14"/>
  </w:num>
  <w:num w:numId="20">
    <w:abstractNumId w:val="16"/>
  </w:num>
  <w:num w:numId="21">
    <w:abstractNumId w:val="19"/>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6B1"/>
    <w:rsid w:val="000325B8"/>
    <w:rsid w:val="00032BB1"/>
    <w:rsid w:val="000338FB"/>
    <w:rsid w:val="00034C15"/>
    <w:rsid w:val="00036BA1"/>
    <w:rsid w:val="000422E2"/>
    <w:rsid w:val="00042F22"/>
    <w:rsid w:val="000444EF"/>
    <w:rsid w:val="00052A07"/>
    <w:rsid w:val="00052FCE"/>
    <w:rsid w:val="000534E3"/>
    <w:rsid w:val="0005606A"/>
    <w:rsid w:val="00057117"/>
    <w:rsid w:val="00057CE2"/>
    <w:rsid w:val="000616E7"/>
    <w:rsid w:val="0006487E"/>
    <w:rsid w:val="00065E1A"/>
    <w:rsid w:val="00067FB8"/>
    <w:rsid w:val="00077E5F"/>
    <w:rsid w:val="0008036A"/>
    <w:rsid w:val="00081AE6"/>
    <w:rsid w:val="000855EB"/>
    <w:rsid w:val="00085B52"/>
    <w:rsid w:val="000866F2"/>
    <w:rsid w:val="0009009F"/>
    <w:rsid w:val="00091557"/>
    <w:rsid w:val="000924C1"/>
    <w:rsid w:val="000924F0"/>
    <w:rsid w:val="00093474"/>
    <w:rsid w:val="0009510F"/>
    <w:rsid w:val="000A1B7B"/>
    <w:rsid w:val="000A4C53"/>
    <w:rsid w:val="000A56F2"/>
    <w:rsid w:val="000A7C1E"/>
    <w:rsid w:val="000B1736"/>
    <w:rsid w:val="000B2719"/>
    <w:rsid w:val="000B3A8F"/>
    <w:rsid w:val="000B4AB9"/>
    <w:rsid w:val="000B58C3"/>
    <w:rsid w:val="000B61E9"/>
    <w:rsid w:val="000C165A"/>
    <w:rsid w:val="000C2E19"/>
    <w:rsid w:val="000D0D07"/>
    <w:rsid w:val="000D1052"/>
    <w:rsid w:val="000D1659"/>
    <w:rsid w:val="000D4797"/>
    <w:rsid w:val="000E0527"/>
    <w:rsid w:val="000E1E92"/>
    <w:rsid w:val="000F06D6"/>
    <w:rsid w:val="000F0EB1"/>
    <w:rsid w:val="000F1106"/>
    <w:rsid w:val="000F3BE9"/>
    <w:rsid w:val="000F3F6C"/>
    <w:rsid w:val="000F6DF3"/>
    <w:rsid w:val="001005FF"/>
    <w:rsid w:val="00102227"/>
    <w:rsid w:val="00104334"/>
    <w:rsid w:val="001062FB"/>
    <w:rsid w:val="001063E6"/>
    <w:rsid w:val="00111131"/>
    <w:rsid w:val="00111AA8"/>
    <w:rsid w:val="00113712"/>
    <w:rsid w:val="00113CF4"/>
    <w:rsid w:val="001153EA"/>
    <w:rsid w:val="00115643"/>
    <w:rsid w:val="00116765"/>
    <w:rsid w:val="001219F5"/>
    <w:rsid w:val="00121A20"/>
    <w:rsid w:val="00122F2E"/>
    <w:rsid w:val="0012377F"/>
    <w:rsid w:val="00124314"/>
    <w:rsid w:val="00126B4A"/>
    <w:rsid w:val="00127917"/>
    <w:rsid w:val="00132FD0"/>
    <w:rsid w:val="001344C0"/>
    <w:rsid w:val="001346FA"/>
    <w:rsid w:val="00135252"/>
    <w:rsid w:val="00137AB5"/>
    <w:rsid w:val="00137F0B"/>
    <w:rsid w:val="001466E5"/>
    <w:rsid w:val="00151E23"/>
    <w:rsid w:val="001526E0"/>
    <w:rsid w:val="001551B5"/>
    <w:rsid w:val="001643A8"/>
    <w:rsid w:val="001659C1"/>
    <w:rsid w:val="00165FA4"/>
    <w:rsid w:val="00173A8E"/>
    <w:rsid w:val="00177795"/>
    <w:rsid w:val="0018143F"/>
    <w:rsid w:val="00190AC1"/>
    <w:rsid w:val="0019341A"/>
    <w:rsid w:val="00195098"/>
    <w:rsid w:val="00197DF9"/>
    <w:rsid w:val="001A1987"/>
    <w:rsid w:val="001A2564"/>
    <w:rsid w:val="001A6173"/>
    <w:rsid w:val="001A6CBA"/>
    <w:rsid w:val="001B0D97"/>
    <w:rsid w:val="001B5A5D"/>
    <w:rsid w:val="001C1CE5"/>
    <w:rsid w:val="001C3D2A"/>
    <w:rsid w:val="001C6011"/>
    <w:rsid w:val="001C6495"/>
    <w:rsid w:val="001C73BB"/>
    <w:rsid w:val="001D51BA"/>
    <w:rsid w:val="001D6342"/>
    <w:rsid w:val="001D6385"/>
    <w:rsid w:val="001D6D53"/>
    <w:rsid w:val="001E58E2"/>
    <w:rsid w:val="001E7AED"/>
    <w:rsid w:val="001F3916"/>
    <w:rsid w:val="001F54C5"/>
    <w:rsid w:val="001F662C"/>
    <w:rsid w:val="001F7074"/>
    <w:rsid w:val="001F7536"/>
    <w:rsid w:val="00200490"/>
    <w:rsid w:val="00201F3A"/>
    <w:rsid w:val="00203F96"/>
    <w:rsid w:val="002069B2"/>
    <w:rsid w:val="00206FD3"/>
    <w:rsid w:val="00207FA3"/>
    <w:rsid w:val="00214DA8"/>
    <w:rsid w:val="00215423"/>
    <w:rsid w:val="002158FA"/>
    <w:rsid w:val="00220600"/>
    <w:rsid w:val="002224DB"/>
    <w:rsid w:val="00223FCB"/>
    <w:rsid w:val="0022475A"/>
    <w:rsid w:val="002252C3"/>
    <w:rsid w:val="00225C54"/>
    <w:rsid w:val="0023040C"/>
    <w:rsid w:val="00230765"/>
    <w:rsid w:val="002319E4"/>
    <w:rsid w:val="002334AE"/>
    <w:rsid w:val="00234595"/>
    <w:rsid w:val="00235632"/>
    <w:rsid w:val="00235872"/>
    <w:rsid w:val="00241559"/>
    <w:rsid w:val="002435B3"/>
    <w:rsid w:val="002458EB"/>
    <w:rsid w:val="002500C8"/>
    <w:rsid w:val="002507A2"/>
    <w:rsid w:val="002516F8"/>
    <w:rsid w:val="00257543"/>
    <w:rsid w:val="002617E7"/>
    <w:rsid w:val="00261FC8"/>
    <w:rsid w:val="00264228"/>
    <w:rsid w:val="00264334"/>
    <w:rsid w:val="0026473E"/>
    <w:rsid w:val="00266214"/>
    <w:rsid w:val="00267694"/>
    <w:rsid w:val="00267C83"/>
    <w:rsid w:val="00271068"/>
    <w:rsid w:val="0027144F"/>
    <w:rsid w:val="00271F3A"/>
    <w:rsid w:val="00273278"/>
    <w:rsid w:val="002737F4"/>
    <w:rsid w:val="002805F5"/>
    <w:rsid w:val="00280751"/>
    <w:rsid w:val="0028280A"/>
    <w:rsid w:val="00283A78"/>
    <w:rsid w:val="00283CAB"/>
    <w:rsid w:val="00286ACD"/>
    <w:rsid w:val="00287838"/>
    <w:rsid w:val="0029075E"/>
    <w:rsid w:val="002907B5"/>
    <w:rsid w:val="00292EB7"/>
    <w:rsid w:val="00296227"/>
    <w:rsid w:val="00296F44"/>
    <w:rsid w:val="0029777D"/>
    <w:rsid w:val="002A055E"/>
    <w:rsid w:val="002A1D4E"/>
    <w:rsid w:val="002A2869"/>
    <w:rsid w:val="002B24D6"/>
    <w:rsid w:val="002B5363"/>
    <w:rsid w:val="002B7C0A"/>
    <w:rsid w:val="002C41E6"/>
    <w:rsid w:val="002D071A"/>
    <w:rsid w:val="002D34B2"/>
    <w:rsid w:val="002D7637"/>
    <w:rsid w:val="002E17F2"/>
    <w:rsid w:val="002E24C4"/>
    <w:rsid w:val="002E2519"/>
    <w:rsid w:val="002E333B"/>
    <w:rsid w:val="002E7CAE"/>
    <w:rsid w:val="002F0ECB"/>
    <w:rsid w:val="002F2771"/>
    <w:rsid w:val="002F37A9"/>
    <w:rsid w:val="00301CE6"/>
    <w:rsid w:val="0030256B"/>
    <w:rsid w:val="0030501F"/>
    <w:rsid w:val="00307BA1"/>
    <w:rsid w:val="00311702"/>
    <w:rsid w:val="00311E82"/>
    <w:rsid w:val="00313FD6"/>
    <w:rsid w:val="003143BD"/>
    <w:rsid w:val="00314FB8"/>
    <w:rsid w:val="00316A08"/>
    <w:rsid w:val="00317B01"/>
    <w:rsid w:val="003203ED"/>
    <w:rsid w:val="00322C9F"/>
    <w:rsid w:val="00324D23"/>
    <w:rsid w:val="00331751"/>
    <w:rsid w:val="00334579"/>
    <w:rsid w:val="00335858"/>
    <w:rsid w:val="00336BDA"/>
    <w:rsid w:val="00342BD7"/>
    <w:rsid w:val="00343853"/>
    <w:rsid w:val="00343A07"/>
    <w:rsid w:val="00346DB5"/>
    <w:rsid w:val="003477B1"/>
    <w:rsid w:val="0035482C"/>
    <w:rsid w:val="00357380"/>
    <w:rsid w:val="0036003B"/>
    <w:rsid w:val="003602D9"/>
    <w:rsid w:val="003604CE"/>
    <w:rsid w:val="00370E47"/>
    <w:rsid w:val="003742AC"/>
    <w:rsid w:val="00377CE1"/>
    <w:rsid w:val="00385BF0"/>
    <w:rsid w:val="003939FF"/>
    <w:rsid w:val="0039633A"/>
    <w:rsid w:val="003A2223"/>
    <w:rsid w:val="003A2A0F"/>
    <w:rsid w:val="003A45A1"/>
    <w:rsid w:val="003A4954"/>
    <w:rsid w:val="003A51C2"/>
    <w:rsid w:val="003A5B0A"/>
    <w:rsid w:val="003A6202"/>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C3D"/>
    <w:rsid w:val="003E74E3"/>
    <w:rsid w:val="003E75BA"/>
    <w:rsid w:val="003F05C7"/>
    <w:rsid w:val="003F2CD4"/>
    <w:rsid w:val="003F6BBE"/>
    <w:rsid w:val="004000E8"/>
    <w:rsid w:val="00402E2B"/>
    <w:rsid w:val="0040512B"/>
    <w:rsid w:val="00405CA5"/>
    <w:rsid w:val="00407CD3"/>
    <w:rsid w:val="00410134"/>
    <w:rsid w:val="00410230"/>
    <w:rsid w:val="00410B72"/>
    <w:rsid w:val="00410F18"/>
    <w:rsid w:val="0041263E"/>
    <w:rsid w:val="00413AAC"/>
    <w:rsid w:val="00421105"/>
    <w:rsid w:val="004242F4"/>
    <w:rsid w:val="00427248"/>
    <w:rsid w:val="00433A70"/>
    <w:rsid w:val="00437447"/>
    <w:rsid w:val="00441A92"/>
    <w:rsid w:val="00444F56"/>
    <w:rsid w:val="00446488"/>
    <w:rsid w:val="004517AA"/>
    <w:rsid w:val="00452CAC"/>
    <w:rsid w:val="0045681D"/>
    <w:rsid w:val="00457565"/>
    <w:rsid w:val="00457B71"/>
    <w:rsid w:val="00463737"/>
    <w:rsid w:val="00465F3A"/>
    <w:rsid w:val="004669E2"/>
    <w:rsid w:val="00470C31"/>
    <w:rsid w:val="004734D0"/>
    <w:rsid w:val="0047519F"/>
    <w:rsid w:val="0047556B"/>
    <w:rsid w:val="00477768"/>
    <w:rsid w:val="00480851"/>
    <w:rsid w:val="00481430"/>
    <w:rsid w:val="004827DA"/>
    <w:rsid w:val="00492BC5"/>
    <w:rsid w:val="004964F1"/>
    <w:rsid w:val="004970AD"/>
    <w:rsid w:val="004A16BC"/>
    <w:rsid w:val="004A2B94"/>
    <w:rsid w:val="004B7C0C"/>
    <w:rsid w:val="004C0F90"/>
    <w:rsid w:val="004C3898"/>
    <w:rsid w:val="004D36B1"/>
    <w:rsid w:val="004D3B58"/>
    <w:rsid w:val="004D7EBD"/>
    <w:rsid w:val="004E225E"/>
    <w:rsid w:val="004E2680"/>
    <w:rsid w:val="004E28F9"/>
    <w:rsid w:val="004E462E"/>
    <w:rsid w:val="004E56DC"/>
    <w:rsid w:val="004E76F4"/>
    <w:rsid w:val="004F0B4E"/>
    <w:rsid w:val="004F0B6C"/>
    <w:rsid w:val="004F2078"/>
    <w:rsid w:val="004F4527"/>
    <w:rsid w:val="004F4DA3"/>
    <w:rsid w:val="004F6553"/>
    <w:rsid w:val="005028A0"/>
    <w:rsid w:val="00506419"/>
    <w:rsid w:val="00506557"/>
    <w:rsid w:val="0050677A"/>
    <w:rsid w:val="005108D8"/>
    <w:rsid w:val="005116F9"/>
    <w:rsid w:val="00512830"/>
    <w:rsid w:val="005153A7"/>
    <w:rsid w:val="005219CF"/>
    <w:rsid w:val="005248E7"/>
    <w:rsid w:val="00526A39"/>
    <w:rsid w:val="00531534"/>
    <w:rsid w:val="005338D0"/>
    <w:rsid w:val="00534B59"/>
    <w:rsid w:val="00536759"/>
    <w:rsid w:val="00537C62"/>
    <w:rsid w:val="00546970"/>
    <w:rsid w:val="00547D17"/>
    <w:rsid w:val="00554E19"/>
    <w:rsid w:val="0056121F"/>
    <w:rsid w:val="00572505"/>
    <w:rsid w:val="005733CE"/>
    <w:rsid w:val="00580202"/>
    <w:rsid w:val="00582809"/>
    <w:rsid w:val="0058302D"/>
    <w:rsid w:val="0058798C"/>
    <w:rsid w:val="005900FA"/>
    <w:rsid w:val="005902DC"/>
    <w:rsid w:val="005935A4"/>
    <w:rsid w:val="005948C2"/>
    <w:rsid w:val="00595DCA"/>
    <w:rsid w:val="0059779B"/>
    <w:rsid w:val="005A209A"/>
    <w:rsid w:val="005A5233"/>
    <w:rsid w:val="005A54E8"/>
    <w:rsid w:val="005A662D"/>
    <w:rsid w:val="005B2DFC"/>
    <w:rsid w:val="005B35D7"/>
    <w:rsid w:val="005B392A"/>
    <w:rsid w:val="005B3AA3"/>
    <w:rsid w:val="005B4421"/>
    <w:rsid w:val="005B6F83"/>
    <w:rsid w:val="005C74FB"/>
    <w:rsid w:val="005D1602"/>
    <w:rsid w:val="005E2528"/>
    <w:rsid w:val="005E385F"/>
    <w:rsid w:val="005E5B81"/>
    <w:rsid w:val="005E5DF7"/>
    <w:rsid w:val="005F2CB1"/>
    <w:rsid w:val="005F3025"/>
    <w:rsid w:val="005F4D03"/>
    <w:rsid w:val="005F618C"/>
    <w:rsid w:val="005F70BD"/>
    <w:rsid w:val="00600364"/>
    <w:rsid w:val="00600FDB"/>
    <w:rsid w:val="0060283C"/>
    <w:rsid w:val="00604F14"/>
    <w:rsid w:val="00605F62"/>
    <w:rsid w:val="006068C5"/>
    <w:rsid w:val="00611B83"/>
    <w:rsid w:val="00613257"/>
    <w:rsid w:val="00614840"/>
    <w:rsid w:val="00614AE3"/>
    <w:rsid w:val="006152DD"/>
    <w:rsid w:val="00620A71"/>
    <w:rsid w:val="00620D80"/>
    <w:rsid w:val="006234A6"/>
    <w:rsid w:val="00624D23"/>
    <w:rsid w:val="0062621C"/>
    <w:rsid w:val="00630001"/>
    <w:rsid w:val="006311B3"/>
    <w:rsid w:val="0063284C"/>
    <w:rsid w:val="00636398"/>
    <w:rsid w:val="006368D3"/>
    <w:rsid w:val="006377EC"/>
    <w:rsid w:val="0064151F"/>
    <w:rsid w:val="00641533"/>
    <w:rsid w:val="0064208D"/>
    <w:rsid w:val="006423C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1A9"/>
    <w:rsid w:val="006741F2"/>
    <w:rsid w:val="00674CC3"/>
    <w:rsid w:val="00675C72"/>
    <w:rsid w:val="006771F9"/>
    <w:rsid w:val="006776D7"/>
    <w:rsid w:val="00681003"/>
    <w:rsid w:val="006817C9"/>
    <w:rsid w:val="006833BE"/>
    <w:rsid w:val="00683ECE"/>
    <w:rsid w:val="00695FC2"/>
    <w:rsid w:val="00696949"/>
    <w:rsid w:val="00696B68"/>
    <w:rsid w:val="00697052"/>
    <w:rsid w:val="006A46FB"/>
    <w:rsid w:val="006A5E28"/>
    <w:rsid w:val="006A697B"/>
    <w:rsid w:val="006A7AFF"/>
    <w:rsid w:val="006B1816"/>
    <w:rsid w:val="006B2099"/>
    <w:rsid w:val="006B41A2"/>
    <w:rsid w:val="006B50CF"/>
    <w:rsid w:val="006C03B8"/>
    <w:rsid w:val="006C38B7"/>
    <w:rsid w:val="006C5EC9"/>
    <w:rsid w:val="006C6059"/>
    <w:rsid w:val="006C7522"/>
    <w:rsid w:val="006C7A10"/>
    <w:rsid w:val="006D4B54"/>
    <w:rsid w:val="006D6F08"/>
    <w:rsid w:val="006E062C"/>
    <w:rsid w:val="006E28B7"/>
    <w:rsid w:val="006E3310"/>
    <w:rsid w:val="006E4E39"/>
    <w:rsid w:val="006E565E"/>
    <w:rsid w:val="006E673D"/>
    <w:rsid w:val="006E7D3B"/>
    <w:rsid w:val="006F09DB"/>
    <w:rsid w:val="006F1B70"/>
    <w:rsid w:val="006F341D"/>
    <w:rsid w:val="006F3CDE"/>
    <w:rsid w:val="006F58D4"/>
    <w:rsid w:val="006F660C"/>
    <w:rsid w:val="00700165"/>
    <w:rsid w:val="0070346E"/>
    <w:rsid w:val="00704EDB"/>
    <w:rsid w:val="0070537F"/>
    <w:rsid w:val="00706101"/>
    <w:rsid w:val="00707072"/>
    <w:rsid w:val="00707D61"/>
    <w:rsid w:val="00712287"/>
    <w:rsid w:val="00712772"/>
    <w:rsid w:val="007148D3"/>
    <w:rsid w:val="00715B9A"/>
    <w:rsid w:val="00721593"/>
    <w:rsid w:val="007239BA"/>
    <w:rsid w:val="00723AEE"/>
    <w:rsid w:val="00726EA6"/>
    <w:rsid w:val="00727208"/>
    <w:rsid w:val="00727680"/>
    <w:rsid w:val="007348B1"/>
    <w:rsid w:val="00734B23"/>
    <w:rsid w:val="007362A6"/>
    <w:rsid w:val="00736D7D"/>
    <w:rsid w:val="00740E58"/>
    <w:rsid w:val="0074405B"/>
    <w:rsid w:val="007445A0"/>
    <w:rsid w:val="0074524B"/>
    <w:rsid w:val="00747D8B"/>
    <w:rsid w:val="00751228"/>
    <w:rsid w:val="00752C41"/>
    <w:rsid w:val="007571E1"/>
    <w:rsid w:val="007604B2"/>
    <w:rsid w:val="00761E87"/>
    <w:rsid w:val="00765281"/>
    <w:rsid w:val="00766BAD"/>
    <w:rsid w:val="007730BD"/>
    <w:rsid w:val="007755F2"/>
    <w:rsid w:val="00776971"/>
    <w:rsid w:val="0078177E"/>
    <w:rsid w:val="0078304C"/>
    <w:rsid w:val="00783673"/>
    <w:rsid w:val="00785490"/>
    <w:rsid w:val="0079166E"/>
    <w:rsid w:val="007925EA"/>
    <w:rsid w:val="00793CD8"/>
    <w:rsid w:val="007959BF"/>
    <w:rsid w:val="00795C92"/>
    <w:rsid w:val="00796231"/>
    <w:rsid w:val="00797014"/>
    <w:rsid w:val="00797B4B"/>
    <w:rsid w:val="007A1CB3"/>
    <w:rsid w:val="007A306F"/>
    <w:rsid w:val="007A43A6"/>
    <w:rsid w:val="007A58A6"/>
    <w:rsid w:val="007B3D2D"/>
    <w:rsid w:val="007B50AE"/>
    <w:rsid w:val="007B51DF"/>
    <w:rsid w:val="007C03D1"/>
    <w:rsid w:val="007C05DD"/>
    <w:rsid w:val="007C3D18"/>
    <w:rsid w:val="007C60BF"/>
    <w:rsid w:val="007C6A07"/>
    <w:rsid w:val="007C75A1"/>
    <w:rsid w:val="007C76AC"/>
    <w:rsid w:val="007C77A5"/>
    <w:rsid w:val="007D04E5"/>
    <w:rsid w:val="007D0572"/>
    <w:rsid w:val="007D55D1"/>
    <w:rsid w:val="007D5901"/>
    <w:rsid w:val="007D7526"/>
    <w:rsid w:val="007E4610"/>
    <w:rsid w:val="007E4715"/>
    <w:rsid w:val="007E505B"/>
    <w:rsid w:val="007E7091"/>
    <w:rsid w:val="007F128F"/>
    <w:rsid w:val="007F311A"/>
    <w:rsid w:val="00803FAE"/>
    <w:rsid w:val="0080605F"/>
    <w:rsid w:val="00807786"/>
    <w:rsid w:val="00811FCB"/>
    <w:rsid w:val="008158D6"/>
    <w:rsid w:val="00817196"/>
    <w:rsid w:val="00817EDE"/>
    <w:rsid w:val="008235DB"/>
    <w:rsid w:val="00824AB4"/>
    <w:rsid w:val="00825C42"/>
    <w:rsid w:val="00825D25"/>
    <w:rsid w:val="0082679A"/>
    <w:rsid w:val="00827D6F"/>
    <w:rsid w:val="008376AC"/>
    <w:rsid w:val="008444E8"/>
    <w:rsid w:val="00844E80"/>
    <w:rsid w:val="00846FE7"/>
    <w:rsid w:val="00850CEC"/>
    <w:rsid w:val="00856911"/>
    <w:rsid w:val="008677FD"/>
    <w:rsid w:val="008706D4"/>
    <w:rsid w:val="00870F8A"/>
    <w:rsid w:val="008719A4"/>
    <w:rsid w:val="00871D23"/>
    <w:rsid w:val="00873CC5"/>
    <w:rsid w:val="00874312"/>
    <w:rsid w:val="0087437C"/>
    <w:rsid w:val="00875CD7"/>
    <w:rsid w:val="00876B25"/>
    <w:rsid w:val="00876B4D"/>
    <w:rsid w:val="00877F18"/>
    <w:rsid w:val="00885B7D"/>
    <w:rsid w:val="00894A88"/>
    <w:rsid w:val="00895386"/>
    <w:rsid w:val="008A21FF"/>
    <w:rsid w:val="008A2CE2"/>
    <w:rsid w:val="008A30AC"/>
    <w:rsid w:val="008A44B8"/>
    <w:rsid w:val="008A51A8"/>
    <w:rsid w:val="008A54C7"/>
    <w:rsid w:val="008A68CE"/>
    <w:rsid w:val="008A77D8"/>
    <w:rsid w:val="008B0483"/>
    <w:rsid w:val="008B120C"/>
    <w:rsid w:val="008B46A9"/>
    <w:rsid w:val="008B51A0"/>
    <w:rsid w:val="008B592A"/>
    <w:rsid w:val="008B5E9B"/>
    <w:rsid w:val="008B7B5C"/>
    <w:rsid w:val="008C0663"/>
    <w:rsid w:val="008C0C99"/>
    <w:rsid w:val="008C2017"/>
    <w:rsid w:val="008C4958"/>
    <w:rsid w:val="008C4BAA"/>
    <w:rsid w:val="008C6AE8"/>
    <w:rsid w:val="008C7573"/>
    <w:rsid w:val="008D0120"/>
    <w:rsid w:val="008D34F1"/>
    <w:rsid w:val="008D39D8"/>
    <w:rsid w:val="008D5EFD"/>
    <w:rsid w:val="008D6D1A"/>
    <w:rsid w:val="008E065E"/>
    <w:rsid w:val="008E0927"/>
    <w:rsid w:val="008E1909"/>
    <w:rsid w:val="008E6575"/>
    <w:rsid w:val="008F1EAB"/>
    <w:rsid w:val="008F33DC"/>
    <w:rsid w:val="008F477F"/>
    <w:rsid w:val="00902350"/>
    <w:rsid w:val="00902C3B"/>
    <w:rsid w:val="0090336B"/>
    <w:rsid w:val="009053AA"/>
    <w:rsid w:val="00906939"/>
    <w:rsid w:val="00910B7D"/>
    <w:rsid w:val="00911DFB"/>
    <w:rsid w:val="009139D9"/>
    <w:rsid w:val="00914AD8"/>
    <w:rsid w:val="00916079"/>
    <w:rsid w:val="00917CE9"/>
    <w:rsid w:val="00920BF2"/>
    <w:rsid w:val="00922010"/>
    <w:rsid w:val="00922CA7"/>
    <w:rsid w:val="00923005"/>
    <w:rsid w:val="00926714"/>
    <w:rsid w:val="00931BD9"/>
    <w:rsid w:val="009348B7"/>
    <w:rsid w:val="009368F3"/>
    <w:rsid w:val="00941636"/>
    <w:rsid w:val="00942AE7"/>
    <w:rsid w:val="00943742"/>
    <w:rsid w:val="00945C05"/>
    <w:rsid w:val="00946945"/>
    <w:rsid w:val="00947713"/>
    <w:rsid w:val="00950DE7"/>
    <w:rsid w:val="00953920"/>
    <w:rsid w:val="00953D47"/>
    <w:rsid w:val="0095681E"/>
    <w:rsid w:val="009572D4"/>
    <w:rsid w:val="00961921"/>
    <w:rsid w:val="0096430A"/>
    <w:rsid w:val="0096554B"/>
    <w:rsid w:val="0096584A"/>
    <w:rsid w:val="00971CB9"/>
    <w:rsid w:val="00971F08"/>
    <w:rsid w:val="00973206"/>
    <w:rsid w:val="0097603D"/>
    <w:rsid w:val="00976949"/>
    <w:rsid w:val="00980477"/>
    <w:rsid w:val="00985253"/>
    <w:rsid w:val="009853B3"/>
    <w:rsid w:val="00987E1C"/>
    <w:rsid w:val="009904FE"/>
    <w:rsid w:val="00990630"/>
    <w:rsid w:val="00991761"/>
    <w:rsid w:val="00994561"/>
    <w:rsid w:val="00994DCA"/>
    <w:rsid w:val="009960EC"/>
    <w:rsid w:val="009970DD"/>
    <w:rsid w:val="009A0FBA"/>
    <w:rsid w:val="009A1601"/>
    <w:rsid w:val="009A462D"/>
    <w:rsid w:val="009A5CBA"/>
    <w:rsid w:val="009B1F30"/>
    <w:rsid w:val="009B3AC2"/>
    <w:rsid w:val="009B4900"/>
    <w:rsid w:val="009B4DF4"/>
    <w:rsid w:val="009B564E"/>
    <w:rsid w:val="009B7E87"/>
    <w:rsid w:val="009C403E"/>
    <w:rsid w:val="009D4FF0"/>
    <w:rsid w:val="009D6CB5"/>
    <w:rsid w:val="009D703C"/>
    <w:rsid w:val="009D718F"/>
    <w:rsid w:val="009E068F"/>
    <w:rsid w:val="009E14E0"/>
    <w:rsid w:val="009E35DB"/>
    <w:rsid w:val="009E47A3"/>
    <w:rsid w:val="009F08F3"/>
    <w:rsid w:val="009F1ECE"/>
    <w:rsid w:val="009F344F"/>
    <w:rsid w:val="00A00EF9"/>
    <w:rsid w:val="00A048A8"/>
    <w:rsid w:val="00A04F49"/>
    <w:rsid w:val="00A13E54"/>
    <w:rsid w:val="00A17687"/>
    <w:rsid w:val="00A17F63"/>
    <w:rsid w:val="00A2193B"/>
    <w:rsid w:val="00A2351A"/>
    <w:rsid w:val="00A264A9"/>
    <w:rsid w:val="00A27785"/>
    <w:rsid w:val="00A30187"/>
    <w:rsid w:val="00A31EDF"/>
    <w:rsid w:val="00A3448A"/>
    <w:rsid w:val="00A36297"/>
    <w:rsid w:val="00A41E2B"/>
    <w:rsid w:val="00A45B74"/>
    <w:rsid w:val="00A508DC"/>
    <w:rsid w:val="00A52E1D"/>
    <w:rsid w:val="00A53AAD"/>
    <w:rsid w:val="00A57B19"/>
    <w:rsid w:val="00A61499"/>
    <w:rsid w:val="00A62691"/>
    <w:rsid w:val="00A62A77"/>
    <w:rsid w:val="00A63483"/>
    <w:rsid w:val="00A6377D"/>
    <w:rsid w:val="00A657D7"/>
    <w:rsid w:val="00A660AC"/>
    <w:rsid w:val="00A67E6C"/>
    <w:rsid w:val="00A71B99"/>
    <w:rsid w:val="00A739D0"/>
    <w:rsid w:val="00A761D4"/>
    <w:rsid w:val="00A778C3"/>
    <w:rsid w:val="00A77EC4"/>
    <w:rsid w:val="00A92879"/>
    <w:rsid w:val="00A9442A"/>
    <w:rsid w:val="00AA016F"/>
    <w:rsid w:val="00AA0E95"/>
    <w:rsid w:val="00AA1ED6"/>
    <w:rsid w:val="00AA51D6"/>
    <w:rsid w:val="00AB081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898"/>
    <w:rsid w:val="00AE4DBA"/>
    <w:rsid w:val="00AE4F07"/>
    <w:rsid w:val="00AF057F"/>
    <w:rsid w:val="00AF1C5D"/>
    <w:rsid w:val="00AF42D7"/>
    <w:rsid w:val="00B006FE"/>
    <w:rsid w:val="00B007CB"/>
    <w:rsid w:val="00B02AA9"/>
    <w:rsid w:val="00B02FA3"/>
    <w:rsid w:val="00B05084"/>
    <w:rsid w:val="00B157F9"/>
    <w:rsid w:val="00B15D4A"/>
    <w:rsid w:val="00B167F1"/>
    <w:rsid w:val="00B20256"/>
    <w:rsid w:val="00B20D09"/>
    <w:rsid w:val="00B272E1"/>
    <w:rsid w:val="00B2763F"/>
    <w:rsid w:val="00B27AAC"/>
    <w:rsid w:val="00B30929"/>
    <w:rsid w:val="00B372AA"/>
    <w:rsid w:val="00B40445"/>
    <w:rsid w:val="00B41888"/>
    <w:rsid w:val="00B42BDB"/>
    <w:rsid w:val="00B45A52"/>
    <w:rsid w:val="00B46175"/>
    <w:rsid w:val="00B476CB"/>
    <w:rsid w:val="00B541F9"/>
    <w:rsid w:val="00B62AAA"/>
    <w:rsid w:val="00B664C7"/>
    <w:rsid w:val="00B667AC"/>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7F4"/>
    <w:rsid w:val="00BD48AC"/>
    <w:rsid w:val="00BD5F1A"/>
    <w:rsid w:val="00BE1234"/>
    <w:rsid w:val="00BE2FA6"/>
    <w:rsid w:val="00BE333F"/>
    <w:rsid w:val="00BE4CA6"/>
    <w:rsid w:val="00BE7406"/>
    <w:rsid w:val="00BE7603"/>
    <w:rsid w:val="00BF043F"/>
    <w:rsid w:val="00BF2CA3"/>
    <w:rsid w:val="00BF3279"/>
    <w:rsid w:val="00BF60C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27CB7"/>
    <w:rsid w:val="00C3699F"/>
    <w:rsid w:val="00C3719D"/>
    <w:rsid w:val="00C41E1E"/>
    <w:rsid w:val="00C5055C"/>
    <w:rsid w:val="00C54995"/>
    <w:rsid w:val="00C54CBD"/>
    <w:rsid w:val="00C54D41"/>
    <w:rsid w:val="00C57F9A"/>
    <w:rsid w:val="00C60783"/>
    <w:rsid w:val="00C64672"/>
    <w:rsid w:val="00C70697"/>
    <w:rsid w:val="00C72EF4"/>
    <w:rsid w:val="00C75D2F"/>
    <w:rsid w:val="00C767BE"/>
    <w:rsid w:val="00C76963"/>
    <w:rsid w:val="00C76E3C"/>
    <w:rsid w:val="00C81568"/>
    <w:rsid w:val="00C87E1A"/>
    <w:rsid w:val="00C9027A"/>
    <w:rsid w:val="00C9068E"/>
    <w:rsid w:val="00C93C4B"/>
    <w:rsid w:val="00C944AB"/>
    <w:rsid w:val="00C95B40"/>
    <w:rsid w:val="00CA0790"/>
    <w:rsid w:val="00CA1ED8"/>
    <w:rsid w:val="00CB1F63"/>
    <w:rsid w:val="00CB7170"/>
    <w:rsid w:val="00CC040E"/>
    <w:rsid w:val="00CC111F"/>
    <w:rsid w:val="00CC2011"/>
    <w:rsid w:val="00CC2175"/>
    <w:rsid w:val="00CC2D95"/>
    <w:rsid w:val="00CC3EA0"/>
    <w:rsid w:val="00CC7B45"/>
    <w:rsid w:val="00CD1188"/>
    <w:rsid w:val="00CD2ED1"/>
    <w:rsid w:val="00CD337B"/>
    <w:rsid w:val="00CE0424"/>
    <w:rsid w:val="00CE38C9"/>
    <w:rsid w:val="00CE5165"/>
    <w:rsid w:val="00CE7561"/>
    <w:rsid w:val="00CF1354"/>
    <w:rsid w:val="00CF3B1F"/>
    <w:rsid w:val="00CF3BF6"/>
    <w:rsid w:val="00CF625B"/>
    <w:rsid w:val="00CF687E"/>
    <w:rsid w:val="00CF7550"/>
    <w:rsid w:val="00D0349B"/>
    <w:rsid w:val="00D04434"/>
    <w:rsid w:val="00D10249"/>
    <w:rsid w:val="00D115C3"/>
    <w:rsid w:val="00D11897"/>
    <w:rsid w:val="00D12DF2"/>
    <w:rsid w:val="00D13135"/>
    <w:rsid w:val="00D13E4E"/>
    <w:rsid w:val="00D14B6A"/>
    <w:rsid w:val="00D239A7"/>
    <w:rsid w:val="00D23F47"/>
    <w:rsid w:val="00D27FAD"/>
    <w:rsid w:val="00D3005B"/>
    <w:rsid w:val="00D3046E"/>
    <w:rsid w:val="00D34B90"/>
    <w:rsid w:val="00D36E71"/>
    <w:rsid w:val="00D37D87"/>
    <w:rsid w:val="00D40241"/>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DF5F19"/>
    <w:rsid w:val="00E03589"/>
    <w:rsid w:val="00E110E7"/>
    <w:rsid w:val="00E11B20"/>
    <w:rsid w:val="00E17FA2"/>
    <w:rsid w:val="00E22330"/>
    <w:rsid w:val="00E30B5A"/>
    <w:rsid w:val="00E3123D"/>
    <w:rsid w:val="00E31461"/>
    <w:rsid w:val="00E317E6"/>
    <w:rsid w:val="00E31D43"/>
    <w:rsid w:val="00E32608"/>
    <w:rsid w:val="00E34188"/>
    <w:rsid w:val="00E345CD"/>
    <w:rsid w:val="00E34B6E"/>
    <w:rsid w:val="00E35559"/>
    <w:rsid w:val="00E3723A"/>
    <w:rsid w:val="00E37860"/>
    <w:rsid w:val="00E446F1"/>
    <w:rsid w:val="00E46886"/>
    <w:rsid w:val="00E47AEF"/>
    <w:rsid w:val="00E53B75"/>
    <w:rsid w:val="00E54AD9"/>
    <w:rsid w:val="00E54E3B"/>
    <w:rsid w:val="00E57565"/>
    <w:rsid w:val="00E63838"/>
    <w:rsid w:val="00E64434"/>
    <w:rsid w:val="00E67C51"/>
    <w:rsid w:val="00E7214D"/>
    <w:rsid w:val="00E72EFC"/>
    <w:rsid w:val="00E753A0"/>
    <w:rsid w:val="00E758EC"/>
    <w:rsid w:val="00E8234C"/>
    <w:rsid w:val="00E8370A"/>
    <w:rsid w:val="00E83AA9"/>
    <w:rsid w:val="00E85928"/>
    <w:rsid w:val="00E87822"/>
    <w:rsid w:val="00E90395"/>
    <w:rsid w:val="00E90E49"/>
    <w:rsid w:val="00E917F9"/>
    <w:rsid w:val="00E9291C"/>
    <w:rsid w:val="00E93FFE"/>
    <w:rsid w:val="00E94F8A"/>
    <w:rsid w:val="00EA7A41"/>
    <w:rsid w:val="00EB077B"/>
    <w:rsid w:val="00EB4EA2"/>
    <w:rsid w:val="00EB6951"/>
    <w:rsid w:val="00EC27C6"/>
    <w:rsid w:val="00EC4207"/>
    <w:rsid w:val="00EC5653"/>
    <w:rsid w:val="00EC60B5"/>
    <w:rsid w:val="00EC71CE"/>
    <w:rsid w:val="00ED1006"/>
    <w:rsid w:val="00EE245C"/>
    <w:rsid w:val="00EF18FE"/>
    <w:rsid w:val="00EF5787"/>
    <w:rsid w:val="00EF60D0"/>
    <w:rsid w:val="00F0528D"/>
    <w:rsid w:val="00F06C67"/>
    <w:rsid w:val="00F06DFD"/>
    <w:rsid w:val="00F06F9E"/>
    <w:rsid w:val="00F071D1"/>
    <w:rsid w:val="00F07533"/>
    <w:rsid w:val="00F10629"/>
    <w:rsid w:val="00F15FA5"/>
    <w:rsid w:val="00F209B7"/>
    <w:rsid w:val="00F2376F"/>
    <w:rsid w:val="00F243D8"/>
    <w:rsid w:val="00F30828"/>
    <w:rsid w:val="00F313D6"/>
    <w:rsid w:val="00F40F0C"/>
    <w:rsid w:val="00F47014"/>
    <w:rsid w:val="00F4766C"/>
    <w:rsid w:val="00F507D1"/>
    <w:rsid w:val="00F519CE"/>
    <w:rsid w:val="00F51ADA"/>
    <w:rsid w:val="00F55F61"/>
    <w:rsid w:val="00F57F48"/>
    <w:rsid w:val="00F607C5"/>
    <w:rsid w:val="00F60DEA"/>
    <w:rsid w:val="00F62195"/>
    <w:rsid w:val="00F6302A"/>
    <w:rsid w:val="00F64C2B"/>
    <w:rsid w:val="00F651BE"/>
    <w:rsid w:val="00F67F53"/>
    <w:rsid w:val="00F703BE"/>
    <w:rsid w:val="00F71C35"/>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493"/>
    <w:rsid w:val="00F92782"/>
    <w:rsid w:val="00F93AA9"/>
    <w:rsid w:val="00F96985"/>
    <w:rsid w:val="00F969F2"/>
    <w:rsid w:val="00F97838"/>
    <w:rsid w:val="00FA2BB3"/>
    <w:rsid w:val="00FA46A8"/>
    <w:rsid w:val="00FB4C80"/>
    <w:rsid w:val="00FB6245"/>
    <w:rsid w:val="00FB6A6A"/>
    <w:rsid w:val="00FC4AD0"/>
    <w:rsid w:val="00FC7429"/>
    <w:rsid w:val="00FD07F6"/>
    <w:rsid w:val="00FD1EC8"/>
    <w:rsid w:val="00FD3FB3"/>
    <w:rsid w:val="00FD47ED"/>
    <w:rsid w:val="00FD74DB"/>
    <w:rsid w:val="00FD7660"/>
    <w:rsid w:val="00FE0655"/>
    <w:rsid w:val="00FE2365"/>
    <w:rsid w:val="00FE3CAD"/>
    <w:rsid w:val="00FE4C7B"/>
    <w:rsid w:val="00FE7336"/>
    <w:rsid w:val="00FE787C"/>
    <w:rsid w:val="00FF3E93"/>
    <w:rsid w:val="00FF45A5"/>
    <w:rsid w:val="00FF5C91"/>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96B68"/>
    <w:pPr>
      <w:overflowPunct/>
      <w:autoSpaceDE/>
      <w:autoSpaceDN/>
      <w:adjustRightInd/>
      <w:spacing w:after="0"/>
      <w:ind w:left="720"/>
      <w:contextualSpacing/>
      <w:jc w:val="left"/>
      <w:textAlignment w:val="auto"/>
    </w:pPr>
    <w:rPr>
      <w:rFonts w:ascii="Times New Roman" w:hAnsi="Times New Roman"/>
      <w:sz w:val="24"/>
      <w:szCs w:val="24"/>
      <w:lang w:val="fi-FI" w:eastAsia="fi-FI"/>
    </w:rPr>
  </w:style>
  <w:style w:type="character" w:customStyle="1" w:styleId="THChar">
    <w:name w:val="TH Char"/>
    <w:link w:val="TH"/>
    <w:locked/>
    <w:rsid w:val="00D27FAD"/>
    <w:rPr>
      <w:rFonts w:ascii="Arial" w:hAnsi="Arial"/>
      <w:b/>
      <w:lang w:val="en-GB" w:eastAsia="en-US"/>
    </w:rPr>
  </w:style>
  <w:style w:type="character" w:customStyle="1" w:styleId="PLChar">
    <w:name w:val="PL Char"/>
    <w:link w:val="PL"/>
    <w:locked/>
    <w:rsid w:val="00D27FAD"/>
    <w:rPr>
      <w:rFonts w:ascii="Courier New" w:hAnsi="Courier New" w:cs="Courier New"/>
      <w:noProof/>
      <w:sz w:val="16"/>
    </w:rPr>
  </w:style>
  <w:style w:type="paragraph" w:customStyle="1" w:styleId="PL">
    <w:name w:val="PL"/>
    <w:link w:val="PLChar"/>
    <w:rsid w:val="00D27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table" w:styleId="TableGrid">
    <w:name w:val="Table Grid"/>
    <w:basedOn w:val="TableNormal"/>
    <w:rsid w:val="00B5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5D4A"/>
    <w:rPr>
      <w:rFonts w:ascii="Arial" w:hAnsi="Arial"/>
      <w:lang w:val="en-GB"/>
    </w:rPr>
  </w:style>
  <w:style w:type="character" w:customStyle="1" w:styleId="Doc-text2Char">
    <w:name w:val="Doc-text2 Char"/>
    <w:link w:val="Doc-text2"/>
    <w:locked/>
    <w:rsid w:val="00102227"/>
    <w:rPr>
      <w:rFonts w:ascii="Arial" w:eastAsia="MS Mincho" w:hAnsi="Arial" w:cs="Arial"/>
      <w:szCs w:val="24"/>
      <w:lang w:val="en-GB" w:eastAsia="en-GB"/>
    </w:rPr>
  </w:style>
  <w:style w:type="paragraph" w:customStyle="1" w:styleId="Doc-text2">
    <w:name w:val="Doc-text2"/>
    <w:basedOn w:val="Normal"/>
    <w:link w:val="Doc-text2Char"/>
    <w:qFormat/>
    <w:rsid w:val="0010222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EmailDiscussionChar">
    <w:name w:val="EmailDiscussion Char"/>
    <w:link w:val="EmailDiscussion"/>
    <w:locked/>
    <w:rsid w:val="006833BE"/>
    <w:rPr>
      <w:rFonts w:ascii="Arial" w:eastAsia="MS Mincho" w:hAnsi="Arial" w:cs="Arial"/>
      <w:b/>
      <w:szCs w:val="24"/>
      <w:lang w:val="en-GB" w:eastAsia="en-GB"/>
    </w:rPr>
  </w:style>
  <w:style w:type="paragraph" w:customStyle="1" w:styleId="EmailDiscussion">
    <w:name w:val="EmailDiscussion"/>
    <w:basedOn w:val="Normal"/>
    <w:next w:val="Normal"/>
    <w:link w:val="EmailDiscussionChar"/>
    <w:rsid w:val="006833BE"/>
    <w:pPr>
      <w:numPr>
        <w:numId w:val="21"/>
      </w:numPr>
      <w:overflowPunct/>
      <w:autoSpaceDE/>
      <w:autoSpaceDN/>
      <w:adjustRightInd/>
      <w:spacing w:before="40" w:after="0"/>
      <w:jc w:val="left"/>
      <w:textAlignment w:val="auto"/>
    </w:pPr>
    <w:rPr>
      <w:rFonts w:eastAsia="MS Mincho" w:cs="Arial"/>
      <w:b/>
      <w:szCs w:val="24"/>
      <w:lang w:eastAsia="en-GB"/>
    </w:rPr>
  </w:style>
  <w:style w:type="character" w:customStyle="1" w:styleId="CommentTextChar">
    <w:name w:val="Comment Text Char"/>
    <w:link w:val="CommentText"/>
    <w:uiPriority w:val="99"/>
    <w:rsid w:val="006833BE"/>
    <w:rPr>
      <w:rFonts w:ascii="Arial" w:hAnsi="Arial"/>
      <w:lang w:val="en-GB"/>
    </w:rPr>
  </w:style>
  <w:style w:type="character" w:customStyle="1" w:styleId="TALCar">
    <w:name w:val="TAL Car"/>
    <w:link w:val="TAL"/>
    <w:locked/>
    <w:rsid w:val="008267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87404">
      <w:bodyDiv w:val="1"/>
      <w:marLeft w:val="0"/>
      <w:marRight w:val="0"/>
      <w:marTop w:val="0"/>
      <w:marBottom w:val="0"/>
      <w:divBdr>
        <w:top w:val="none" w:sz="0" w:space="0" w:color="auto"/>
        <w:left w:val="none" w:sz="0" w:space="0" w:color="auto"/>
        <w:bottom w:val="none" w:sz="0" w:space="0" w:color="auto"/>
        <w:right w:val="none" w:sz="0" w:space="0" w:color="auto"/>
      </w:divBdr>
      <w:divsChild>
        <w:div w:id="196889947">
          <w:marLeft w:val="835"/>
          <w:marRight w:val="0"/>
          <w:marTop w:val="96"/>
          <w:marBottom w:val="0"/>
          <w:divBdr>
            <w:top w:val="none" w:sz="0" w:space="0" w:color="auto"/>
            <w:left w:val="none" w:sz="0" w:space="0" w:color="auto"/>
            <w:bottom w:val="none" w:sz="0" w:space="0" w:color="auto"/>
            <w:right w:val="none" w:sz="0" w:space="0" w:color="auto"/>
          </w:divBdr>
        </w:div>
        <w:div w:id="1099987356">
          <w:marLeft w:val="835"/>
          <w:marRight w:val="0"/>
          <w:marTop w:val="96"/>
          <w:marBottom w:val="0"/>
          <w:divBdr>
            <w:top w:val="none" w:sz="0" w:space="0" w:color="auto"/>
            <w:left w:val="none" w:sz="0" w:space="0" w:color="auto"/>
            <w:bottom w:val="none" w:sz="0" w:space="0" w:color="auto"/>
            <w:right w:val="none" w:sz="0" w:space="0" w:color="auto"/>
          </w:divBdr>
        </w:div>
      </w:divsChild>
    </w:div>
    <w:div w:id="226648482">
      <w:bodyDiv w:val="1"/>
      <w:marLeft w:val="0"/>
      <w:marRight w:val="0"/>
      <w:marTop w:val="0"/>
      <w:marBottom w:val="0"/>
      <w:divBdr>
        <w:top w:val="none" w:sz="0" w:space="0" w:color="auto"/>
        <w:left w:val="none" w:sz="0" w:space="0" w:color="auto"/>
        <w:bottom w:val="none" w:sz="0" w:space="0" w:color="auto"/>
        <w:right w:val="none" w:sz="0" w:space="0" w:color="auto"/>
      </w:divBdr>
    </w:div>
    <w:div w:id="771977057">
      <w:bodyDiv w:val="1"/>
      <w:marLeft w:val="0"/>
      <w:marRight w:val="0"/>
      <w:marTop w:val="0"/>
      <w:marBottom w:val="0"/>
      <w:divBdr>
        <w:top w:val="none" w:sz="0" w:space="0" w:color="auto"/>
        <w:left w:val="none" w:sz="0" w:space="0" w:color="auto"/>
        <w:bottom w:val="none" w:sz="0" w:space="0" w:color="auto"/>
        <w:right w:val="none" w:sz="0" w:space="0" w:color="auto"/>
      </w:divBdr>
    </w:div>
    <w:div w:id="945308863">
      <w:bodyDiv w:val="1"/>
      <w:marLeft w:val="0"/>
      <w:marRight w:val="0"/>
      <w:marTop w:val="0"/>
      <w:marBottom w:val="0"/>
      <w:divBdr>
        <w:top w:val="none" w:sz="0" w:space="0" w:color="auto"/>
        <w:left w:val="none" w:sz="0" w:space="0" w:color="auto"/>
        <w:bottom w:val="none" w:sz="0" w:space="0" w:color="auto"/>
        <w:right w:val="none" w:sz="0" w:space="0" w:color="auto"/>
      </w:divBdr>
    </w:div>
    <w:div w:id="1140029459">
      <w:bodyDiv w:val="1"/>
      <w:marLeft w:val="0"/>
      <w:marRight w:val="0"/>
      <w:marTop w:val="0"/>
      <w:marBottom w:val="0"/>
      <w:divBdr>
        <w:top w:val="none" w:sz="0" w:space="0" w:color="auto"/>
        <w:left w:val="none" w:sz="0" w:space="0" w:color="auto"/>
        <w:bottom w:val="none" w:sz="0" w:space="0" w:color="auto"/>
        <w:right w:val="none" w:sz="0" w:space="0" w:color="auto"/>
      </w:divBdr>
    </w:div>
    <w:div w:id="1179347733">
      <w:bodyDiv w:val="1"/>
      <w:marLeft w:val="0"/>
      <w:marRight w:val="0"/>
      <w:marTop w:val="0"/>
      <w:marBottom w:val="0"/>
      <w:divBdr>
        <w:top w:val="none" w:sz="0" w:space="0" w:color="auto"/>
        <w:left w:val="none" w:sz="0" w:space="0" w:color="auto"/>
        <w:bottom w:val="none" w:sz="0" w:space="0" w:color="auto"/>
        <w:right w:val="none" w:sz="0" w:space="0" w:color="auto"/>
      </w:divBdr>
      <w:divsChild>
        <w:div w:id="2063407825">
          <w:marLeft w:val="274"/>
          <w:marRight w:val="0"/>
          <w:marTop w:val="115"/>
          <w:marBottom w:val="0"/>
          <w:divBdr>
            <w:top w:val="none" w:sz="0" w:space="0" w:color="auto"/>
            <w:left w:val="none" w:sz="0" w:space="0" w:color="auto"/>
            <w:bottom w:val="none" w:sz="0" w:space="0" w:color="auto"/>
            <w:right w:val="none" w:sz="0" w:space="0" w:color="auto"/>
          </w:divBdr>
        </w:div>
      </w:divsChild>
    </w:div>
    <w:div w:id="1191452659">
      <w:bodyDiv w:val="1"/>
      <w:marLeft w:val="0"/>
      <w:marRight w:val="0"/>
      <w:marTop w:val="0"/>
      <w:marBottom w:val="0"/>
      <w:divBdr>
        <w:top w:val="none" w:sz="0" w:space="0" w:color="auto"/>
        <w:left w:val="none" w:sz="0" w:space="0" w:color="auto"/>
        <w:bottom w:val="none" w:sz="0" w:space="0" w:color="auto"/>
        <w:right w:val="none" w:sz="0" w:space="0" w:color="auto"/>
      </w:divBdr>
    </w:div>
    <w:div w:id="1291404021">
      <w:bodyDiv w:val="1"/>
      <w:marLeft w:val="0"/>
      <w:marRight w:val="0"/>
      <w:marTop w:val="0"/>
      <w:marBottom w:val="0"/>
      <w:divBdr>
        <w:top w:val="none" w:sz="0" w:space="0" w:color="auto"/>
        <w:left w:val="none" w:sz="0" w:space="0" w:color="auto"/>
        <w:bottom w:val="none" w:sz="0" w:space="0" w:color="auto"/>
        <w:right w:val="none" w:sz="0" w:space="0" w:color="auto"/>
      </w:divBdr>
    </w:div>
    <w:div w:id="1559776733">
      <w:bodyDiv w:val="1"/>
      <w:marLeft w:val="0"/>
      <w:marRight w:val="0"/>
      <w:marTop w:val="0"/>
      <w:marBottom w:val="0"/>
      <w:divBdr>
        <w:top w:val="none" w:sz="0" w:space="0" w:color="auto"/>
        <w:left w:val="none" w:sz="0" w:space="0" w:color="auto"/>
        <w:bottom w:val="none" w:sz="0" w:space="0" w:color="auto"/>
        <w:right w:val="none" w:sz="0" w:space="0" w:color="auto"/>
      </w:divBdr>
    </w:div>
    <w:div w:id="169476942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BC5E0-BB9D-4B7A-AF61-2810372EA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2017-09-29T02:17:00Z</dcterms:created>
  <dcterms:modified xsi:type="dcterms:W3CDTF">2017-09-29T02:17:00Z</dcterms:modified>
</cp:coreProperties>
</file>